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仿宋" w:eastAsia="方正小标宋简体"/>
          <w:color w:val="auto"/>
          <w:sz w:val="44"/>
          <w:szCs w:val="44"/>
        </w:rPr>
      </w:pPr>
      <w:r>
        <w:rPr>
          <w:rFonts w:hint="eastAsia" w:ascii="方正小标宋简体" w:hAnsi="仿宋" w:eastAsia="方正小标宋简体"/>
          <w:color w:val="auto"/>
          <w:sz w:val="44"/>
          <w:szCs w:val="44"/>
          <w:lang w:val="en-US" w:eastAsia="zh-CN"/>
        </w:rPr>
        <w:t>2021-78</w:t>
      </w:r>
      <w:r>
        <w:rPr>
          <w:rFonts w:hint="eastAsia" w:ascii="方正小标宋简体" w:hAnsi="仿宋" w:eastAsia="方正小标宋简体"/>
          <w:color w:val="auto"/>
          <w:sz w:val="44"/>
          <w:szCs w:val="44"/>
        </w:rPr>
        <w:t>号地块等</w:t>
      </w:r>
      <w:r>
        <w:rPr>
          <w:rFonts w:hint="eastAsia" w:ascii="方正小标宋简体" w:hAnsi="仿宋" w:eastAsia="方正小标宋简体"/>
          <w:color w:val="auto"/>
          <w:sz w:val="44"/>
          <w:szCs w:val="44"/>
          <w:lang w:val="en-US" w:eastAsia="zh-CN"/>
        </w:rPr>
        <w:t>2</w:t>
      </w:r>
      <w:r>
        <w:rPr>
          <w:rFonts w:hint="eastAsia" w:ascii="方正小标宋简体" w:hAnsi="仿宋" w:eastAsia="方正小标宋简体"/>
          <w:color w:val="auto"/>
          <w:sz w:val="44"/>
          <w:szCs w:val="44"/>
        </w:rPr>
        <w:t>宗国有建设用地使用权</w:t>
      </w:r>
    </w:p>
    <w:p>
      <w:pPr>
        <w:spacing w:line="58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出让方案</w:t>
      </w:r>
    </w:p>
    <w:p>
      <w:pPr>
        <w:spacing w:line="580" w:lineRule="exact"/>
        <w:jc w:val="center"/>
        <w:rPr>
          <w:rFonts w:ascii="方正小标宋简体" w:hAnsi="仿宋" w:eastAsia="方正小标宋简体"/>
          <w:b/>
          <w:bCs/>
          <w:color w:val="auto"/>
          <w:sz w:val="44"/>
          <w:szCs w:val="44"/>
        </w:rPr>
      </w:pP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为了合理开发利用土地，提高土地利用率，充分发挥土地资产效益，促进城市建设和经济发展，根据《中华人民共和国土地管理法》、《中华人民共和国城市房地产管理法》和国土资源部《招标拍卖挂牌出让国有建设用地使用权规定》等法律法规，特制定本方案。</w:t>
      </w:r>
    </w:p>
    <w:p>
      <w:pPr>
        <w:numPr>
          <w:ilvl w:val="0"/>
          <w:numId w:val="1"/>
        </w:numPr>
        <w:adjustRightInd w:val="0"/>
        <w:snapToGrid w:val="0"/>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出让地块交易条件</w:t>
      </w:r>
    </w:p>
    <w:p>
      <w:pPr>
        <w:numPr>
          <w:ilvl w:val="0"/>
          <w:numId w:val="0"/>
        </w:numPr>
        <w:spacing w:line="560" w:lineRule="exact"/>
        <w:ind w:firstLine="643" w:firstLineChars="200"/>
        <w:rPr>
          <w:rFonts w:hint="eastAsia" w:ascii="黑体" w:hAnsi="黑体" w:eastAsia="黑体"/>
          <w:color w:val="auto"/>
          <w:sz w:val="32"/>
          <w:szCs w:val="32"/>
          <w:lang w:eastAsia="zh-CN"/>
        </w:rPr>
      </w:pPr>
      <w:r>
        <w:rPr>
          <w:rFonts w:hint="eastAsia" w:ascii="仿宋_GB2312" w:eastAsia="仿宋_GB2312"/>
          <w:b/>
          <w:color w:val="auto"/>
          <w:sz w:val="32"/>
          <w:szCs w:val="32"/>
        </w:rPr>
        <w:t>（一）</w:t>
      </w:r>
      <w:r>
        <w:rPr>
          <w:rFonts w:hint="eastAsia" w:ascii="仿宋_GB2312" w:eastAsia="仿宋_GB2312"/>
          <w:b/>
          <w:color w:val="auto"/>
          <w:sz w:val="32"/>
          <w:szCs w:val="32"/>
          <w:lang w:val="en-US" w:eastAsia="zh-CN"/>
        </w:rPr>
        <w:t>2021-78</w:t>
      </w:r>
      <w:r>
        <w:rPr>
          <w:rFonts w:hint="eastAsia" w:ascii="仿宋_GB2312" w:eastAsia="仿宋_GB2312"/>
          <w:b/>
          <w:color w:val="auto"/>
          <w:sz w:val="32"/>
          <w:szCs w:val="32"/>
        </w:rPr>
        <w:t>号地块</w:t>
      </w:r>
    </w:p>
    <w:p>
      <w:pPr>
        <w:numPr>
          <w:ilvl w:val="0"/>
          <w:numId w:val="0"/>
        </w:numPr>
        <w:spacing w:line="560" w:lineRule="exact"/>
        <w:ind w:firstLine="643" w:firstLineChars="200"/>
        <w:rPr>
          <w:rFonts w:hint="eastAsia" w:ascii="仿宋_GB2312" w:hAnsi="仿宋" w:eastAsia="仿宋_GB2312"/>
          <w:color w:val="auto"/>
          <w:sz w:val="32"/>
          <w:szCs w:val="32"/>
        </w:rPr>
      </w:pPr>
      <w:r>
        <w:rPr>
          <w:rFonts w:hint="eastAsia" w:ascii="仿宋_GB2312" w:hAnsi="新宋体" w:eastAsia="仿宋_GB2312"/>
          <w:b/>
          <w:color w:val="auto"/>
          <w:sz w:val="32"/>
          <w:szCs w:val="32"/>
          <w:lang w:val="en-US" w:eastAsia="zh-CN"/>
        </w:rPr>
        <w:t>1、</w:t>
      </w:r>
      <w:r>
        <w:rPr>
          <w:rFonts w:hint="eastAsia" w:ascii="仿宋_GB2312" w:hAnsi="新宋体" w:eastAsia="仿宋_GB2312"/>
          <w:b/>
          <w:color w:val="auto"/>
          <w:sz w:val="32"/>
          <w:szCs w:val="32"/>
        </w:rPr>
        <w:t>基本情况:</w:t>
      </w:r>
      <w:r>
        <w:rPr>
          <w:rFonts w:hint="eastAsia" w:ascii="仿宋_GB2312" w:hAnsi="新宋体" w:eastAsia="仿宋_GB2312"/>
          <w:b/>
          <w:color w:val="auto"/>
          <w:sz w:val="32"/>
          <w:szCs w:val="32"/>
          <w:lang w:eastAsia="zh-CN"/>
        </w:rPr>
        <w:t>该</w:t>
      </w:r>
      <w:r>
        <w:rPr>
          <w:rFonts w:hint="eastAsia" w:ascii="仿宋_GB2312" w:hAnsi="仿宋" w:eastAsia="仿宋_GB2312"/>
          <w:color w:val="auto"/>
          <w:sz w:val="32"/>
          <w:szCs w:val="32"/>
        </w:rPr>
        <w:t>地块位于</w:t>
      </w:r>
      <w:r>
        <w:rPr>
          <w:rFonts w:hint="eastAsia" w:ascii="仿宋_GB2312" w:hAnsi="仿宋" w:eastAsia="仿宋_GB2312"/>
          <w:color w:val="auto"/>
          <w:sz w:val="32"/>
          <w:szCs w:val="32"/>
          <w:lang w:val="en-US" w:eastAsia="zh-CN"/>
        </w:rPr>
        <w:t>温水镇娄底村</w:t>
      </w:r>
      <w:r>
        <w:rPr>
          <w:rFonts w:hint="eastAsia" w:ascii="仿宋_GB2312" w:hAnsi="仿宋" w:eastAsia="仿宋_GB2312"/>
          <w:color w:val="auto"/>
          <w:sz w:val="32"/>
          <w:szCs w:val="32"/>
        </w:rPr>
        <w:t>，面积</w:t>
      </w:r>
      <w:r>
        <w:rPr>
          <w:rFonts w:hint="eastAsia" w:ascii="仿宋_GB2312" w:hAnsi="仿宋" w:eastAsia="仿宋_GB2312" w:cs="Times New Roman"/>
          <w:color w:val="auto"/>
          <w:sz w:val="32"/>
          <w:szCs w:val="32"/>
          <w:lang w:val="en-US" w:eastAsia="zh-CN"/>
        </w:rPr>
        <w:t>67695.93</w:t>
      </w:r>
      <w:r>
        <w:rPr>
          <w:rFonts w:hint="eastAsia" w:ascii="仿宋_GB2312" w:hAnsi="仿宋" w:eastAsia="仿宋_GB2312"/>
          <w:color w:val="auto"/>
          <w:sz w:val="32"/>
          <w:szCs w:val="32"/>
        </w:rPr>
        <w:t>㎡。</w:t>
      </w:r>
    </w:p>
    <w:p>
      <w:pPr>
        <w:numPr>
          <w:ilvl w:val="0"/>
          <w:numId w:val="0"/>
        </w:numPr>
        <w:spacing w:line="560" w:lineRule="exact"/>
        <w:ind w:firstLine="643" w:firstLineChars="200"/>
        <w:rPr>
          <w:rFonts w:hint="eastAsia" w:ascii="仿宋_GB2312" w:hAnsi="仿宋" w:eastAsia="仿宋_GB2312" w:cs="Times New Roman"/>
          <w:color w:val="auto"/>
          <w:sz w:val="32"/>
          <w:szCs w:val="32"/>
          <w:lang w:val="en-US" w:eastAsia="zh-CN"/>
        </w:rPr>
      </w:pPr>
      <w:r>
        <w:rPr>
          <w:rFonts w:hint="eastAsia" w:ascii="仿宋_GB2312" w:hAnsi="新宋体" w:eastAsia="仿宋_GB2312"/>
          <w:b/>
          <w:color w:val="auto"/>
          <w:sz w:val="32"/>
          <w:szCs w:val="32"/>
          <w:lang w:val="en-US" w:eastAsia="zh-CN"/>
        </w:rPr>
        <w:t>2、</w:t>
      </w:r>
      <w:r>
        <w:rPr>
          <w:rFonts w:hint="eastAsia" w:ascii="仿宋_GB2312" w:hAnsi="新宋体" w:eastAsia="仿宋_GB2312"/>
          <w:b/>
          <w:color w:val="auto"/>
          <w:sz w:val="32"/>
          <w:szCs w:val="32"/>
        </w:rPr>
        <w:t>主要规划经济技术指标</w:t>
      </w:r>
      <w:r>
        <w:rPr>
          <w:rFonts w:hint="eastAsia" w:ascii="仿宋_GB2312" w:hAnsi="新宋体" w:eastAsia="仿宋_GB2312"/>
          <w:b/>
          <w:color w:val="auto"/>
          <w:sz w:val="32"/>
          <w:szCs w:val="32"/>
          <w:lang w:eastAsia="zh-CN"/>
        </w:rPr>
        <w:t>：</w:t>
      </w:r>
      <w:r>
        <w:rPr>
          <w:rFonts w:hint="eastAsia" w:ascii="仿宋_GB2312" w:hAnsi="仿宋" w:eastAsia="仿宋_GB2312" w:cs="Times New Roman"/>
          <w:color w:val="auto"/>
          <w:sz w:val="32"/>
          <w:szCs w:val="32"/>
          <w:lang w:val="en-US" w:eastAsia="zh-CN"/>
        </w:rPr>
        <w:t>规划用地面积67695.93㎡，总建筑面积≥67695.93㎡（建筑层高超过8米加倍计算该层计容建筑面积），容积率≥1.0，绿地率≤20%，建筑密度≥30%，停车位≥59个，建筑限高≤21.6米。</w:t>
      </w:r>
    </w:p>
    <w:p>
      <w:pPr>
        <w:numPr>
          <w:ilvl w:val="0"/>
          <w:numId w:val="0"/>
        </w:numPr>
        <w:spacing w:line="560" w:lineRule="exact"/>
        <w:ind w:firstLine="643" w:firstLineChars="200"/>
        <w:rPr>
          <w:rFonts w:hint="eastAsia" w:ascii="仿宋_GB2312" w:hAnsi="仿宋" w:eastAsia="仿宋_GB2312"/>
          <w:color w:val="auto"/>
          <w:sz w:val="32"/>
          <w:szCs w:val="32"/>
          <w:lang w:eastAsia="zh-CN"/>
        </w:rPr>
      </w:pPr>
      <w:r>
        <w:rPr>
          <w:rFonts w:hint="eastAsia" w:ascii="仿宋_GB2312" w:eastAsia="仿宋_GB2312"/>
          <w:b/>
          <w:bCs/>
          <w:color w:val="auto"/>
          <w:sz w:val="32"/>
          <w:szCs w:val="32"/>
          <w:lang w:val="en-US" w:eastAsia="zh-CN"/>
        </w:rPr>
        <w:t>3、</w:t>
      </w:r>
      <w:r>
        <w:rPr>
          <w:rFonts w:hint="eastAsia" w:ascii="仿宋_GB2312" w:eastAsia="仿宋_GB2312"/>
          <w:b/>
          <w:bCs/>
          <w:color w:val="auto"/>
          <w:sz w:val="32"/>
          <w:szCs w:val="32"/>
        </w:rPr>
        <w:t>出让年限</w:t>
      </w:r>
      <w:r>
        <w:rPr>
          <w:rFonts w:hint="eastAsia" w:ascii="仿宋_GB2312" w:eastAsia="仿宋_GB2312"/>
          <w:b/>
          <w:bCs/>
          <w:color w:val="auto"/>
          <w:sz w:val="32"/>
          <w:szCs w:val="32"/>
          <w:lang w:eastAsia="zh-CN"/>
        </w:rPr>
        <w:t>：</w:t>
      </w:r>
      <w:r>
        <w:rPr>
          <w:rFonts w:hint="eastAsia" w:ascii="仿宋_GB2312" w:hAnsi="仿宋" w:eastAsia="仿宋_GB2312"/>
          <w:color w:val="auto"/>
          <w:sz w:val="32"/>
          <w:szCs w:val="32"/>
          <w:lang w:eastAsia="zh-CN"/>
        </w:rPr>
        <w:t>工业用地</w:t>
      </w:r>
      <w:r>
        <w:rPr>
          <w:rFonts w:hint="eastAsia" w:ascii="仿宋_GB2312" w:hAnsi="仿宋" w:eastAsia="仿宋_GB2312"/>
          <w:color w:val="auto"/>
          <w:sz w:val="32"/>
          <w:szCs w:val="32"/>
          <w:lang w:val="en-US" w:eastAsia="zh-CN"/>
        </w:rPr>
        <w:t>50年</w:t>
      </w:r>
      <w:r>
        <w:rPr>
          <w:rFonts w:hint="eastAsia" w:ascii="仿宋_GB2312" w:hAnsi="仿宋" w:eastAsia="仿宋_GB2312"/>
          <w:color w:val="auto"/>
          <w:sz w:val="32"/>
          <w:szCs w:val="32"/>
          <w:lang w:eastAsia="zh-CN"/>
        </w:rPr>
        <w:t>。</w:t>
      </w:r>
    </w:p>
    <w:p>
      <w:pPr>
        <w:tabs>
          <w:tab w:val="left" w:pos="5977"/>
        </w:tabs>
        <w:spacing w:line="560" w:lineRule="exact"/>
        <w:ind w:firstLine="643" w:firstLineChars="200"/>
        <w:rPr>
          <w:rFonts w:hint="eastAsia" w:ascii="仿宋_GB2312" w:eastAsia="仿宋_GB2312"/>
          <w:b/>
          <w:color w:val="auto"/>
          <w:sz w:val="32"/>
          <w:szCs w:val="32"/>
          <w:lang w:eastAsia="zh-CN"/>
        </w:rPr>
      </w:pPr>
      <w:r>
        <w:rPr>
          <w:rFonts w:hint="eastAsia" w:ascii="仿宋_GB2312" w:eastAsia="仿宋_GB2312"/>
          <w:b/>
          <w:bCs/>
          <w:color w:val="auto"/>
          <w:sz w:val="32"/>
          <w:szCs w:val="32"/>
        </w:rPr>
        <w:t>4、出让条件</w:t>
      </w:r>
    </w:p>
    <w:p>
      <w:pPr>
        <w:spacing w:line="560" w:lineRule="exact"/>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val="zh-CN"/>
        </w:rPr>
        <w:t>）涉及办理用地手续的相关税费由竞得人按规定缴纳。</w:t>
      </w:r>
    </w:p>
    <w:p>
      <w:pPr>
        <w:spacing w:line="560" w:lineRule="exact"/>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val="zh-CN"/>
        </w:rPr>
        <w:t>）竞得人应该</w:t>
      </w:r>
      <w:r>
        <w:rPr>
          <w:rFonts w:hint="eastAsia" w:ascii="仿宋_GB2312" w:eastAsia="仿宋_GB2312"/>
          <w:color w:val="auto"/>
          <w:sz w:val="32"/>
          <w:szCs w:val="32"/>
        </w:rPr>
        <w:t>严格按照《习水县</w:t>
      </w:r>
      <w:r>
        <w:rPr>
          <w:rFonts w:hint="eastAsia" w:ascii="仿宋_GB2312" w:eastAsia="仿宋_GB2312"/>
          <w:color w:val="auto"/>
          <w:sz w:val="32"/>
          <w:szCs w:val="32"/>
          <w:lang w:val="en-US" w:eastAsia="zh-CN"/>
        </w:rPr>
        <w:t>2021-78</w:t>
      </w:r>
      <w:r>
        <w:rPr>
          <w:rFonts w:hint="eastAsia" w:ascii="仿宋_GB2312" w:hAnsi="仿宋" w:eastAsia="仿宋_GB2312"/>
          <w:color w:val="auto"/>
          <w:sz w:val="32"/>
          <w:szCs w:val="32"/>
        </w:rPr>
        <w:t>号</w:t>
      </w:r>
      <w:r>
        <w:rPr>
          <w:rFonts w:hint="eastAsia" w:ascii="仿宋_GB2312" w:eastAsia="仿宋_GB2312"/>
          <w:color w:val="auto"/>
          <w:sz w:val="32"/>
          <w:szCs w:val="32"/>
        </w:rPr>
        <w:t>地块控制性规划指标的批复》确定的规划经济技术指标进行修建</w:t>
      </w:r>
      <w:r>
        <w:rPr>
          <w:rFonts w:hint="eastAsia" w:ascii="仿宋_GB2312" w:hAnsi="仿宋_GB2312" w:eastAsia="仿宋_GB2312" w:cs="仿宋_GB2312"/>
          <w:color w:val="auto"/>
          <w:kern w:val="0"/>
          <w:sz w:val="32"/>
          <w:szCs w:val="32"/>
          <w:lang w:val="zh-CN"/>
        </w:rPr>
        <w:t>。</w:t>
      </w:r>
    </w:p>
    <w:p>
      <w:pPr>
        <w:spacing w:line="560" w:lineRule="exact"/>
        <w:ind w:firstLine="640" w:firstLineChars="20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1、县人民政府负责，温水镇人民政府具体实施。</w:t>
      </w:r>
    </w:p>
    <w:p>
      <w:pPr>
        <w:tabs>
          <w:tab w:val="left" w:pos="705"/>
        </w:tabs>
        <w:spacing w:line="560" w:lineRule="exact"/>
        <w:ind w:firstLine="6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2、征收补偿安置方式:按照县政府批准的房屋征收补偿安置方案执行。</w:t>
      </w:r>
    </w:p>
    <w:p>
      <w:pPr>
        <w:numPr>
          <w:ilvl w:val="0"/>
          <w:numId w:val="0"/>
        </w:num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买保证金。</w:t>
      </w:r>
    </w:p>
    <w:p>
      <w:pPr>
        <w:numPr>
          <w:ilvl w:val="0"/>
          <w:numId w:val="0"/>
        </w:num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 w:eastAsia="仿宋_GB2312"/>
          <w:color w:val="auto"/>
          <w:sz w:val="32"/>
          <w:szCs w:val="32"/>
          <w:lang w:val="en-US" w:eastAsia="zh-CN"/>
        </w:rPr>
        <w:t>（8）</w:t>
      </w:r>
      <w:r>
        <w:rPr>
          <w:rFonts w:hint="default" w:ascii="仿宋_GB2312" w:hAnsi="仿宋" w:eastAsia="仿宋_GB2312"/>
          <w:color w:val="auto"/>
          <w:sz w:val="32"/>
          <w:szCs w:val="32"/>
          <w:lang w:val="en-US" w:eastAsia="zh-CN"/>
        </w:rPr>
        <w:t>带规划设计方案出让。</w:t>
      </w:r>
    </w:p>
    <w:p>
      <w:pPr>
        <w:numPr>
          <w:ilvl w:val="0"/>
          <w:numId w:val="0"/>
        </w:numPr>
        <w:spacing w:line="560" w:lineRule="exact"/>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sz w:val="32"/>
          <w:szCs w:val="32"/>
          <w:lang w:val="en-US" w:eastAsia="zh-CN"/>
        </w:rPr>
        <w:t>5</w:t>
      </w:r>
      <w:r>
        <w:rPr>
          <w:rFonts w:hint="eastAsia" w:ascii="仿宋_GB2312" w:hAnsi="宋体" w:eastAsia="仿宋_GB2312"/>
          <w:b/>
          <w:color w:val="auto"/>
          <w:sz w:val="32"/>
          <w:szCs w:val="32"/>
        </w:rPr>
        <w:t>、</w:t>
      </w:r>
      <w:r>
        <w:rPr>
          <w:rFonts w:hint="eastAsia" w:ascii="仿宋_GB2312" w:hAnsi="宋体" w:eastAsia="仿宋_GB2312"/>
          <w:b/>
          <w:color w:val="auto"/>
          <w:sz w:val="32"/>
          <w:szCs w:val="32"/>
          <w:lang w:eastAsia="zh-CN"/>
        </w:rPr>
        <w:t>付款方式及期限：</w:t>
      </w:r>
      <w:r>
        <w:rPr>
          <w:rFonts w:hint="eastAsia" w:ascii="仿宋_GB2312" w:eastAsia="仿宋_GB2312"/>
          <w:color w:val="auto"/>
          <w:sz w:val="32"/>
          <w:szCs w:val="32"/>
        </w:rPr>
        <w:t>竞得人须在成交后30天内缴纳不少于成交价款的50%作为定金，余款按国土资发〔2010〕34号和财综〔2009〕74号执行</w:t>
      </w:r>
      <w:r>
        <w:rPr>
          <w:rFonts w:hint="eastAsia" w:ascii="仿宋_GB2312" w:hAnsi="仿宋_GB2312" w:eastAsia="仿宋_GB2312" w:cs="仿宋_GB2312"/>
          <w:color w:val="auto"/>
          <w:kern w:val="0"/>
          <w:sz w:val="32"/>
          <w:szCs w:val="32"/>
          <w:lang w:val="zh-CN"/>
        </w:rPr>
        <w:t>。</w:t>
      </w:r>
    </w:p>
    <w:p>
      <w:pPr>
        <w:adjustRightInd w:val="0"/>
        <w:spacing w:line="560" w:lineRule="exact"/>
        <w:ind w:firstLine="475" w:firstLineChars="148"/>
        <w:rPr>
          <w:rFonts w:hint="eastAsia" w:ascii="黑体" w:hAnsi="黑体" w:eastAsia="黑体"/>
          <w:color w:val="auto"/>
          <w:sz w:val="32"/>
          <w:szCs w:val="32"/>
          <w:lang w:eastAsia="zh-CN"/>
        </w:rPr>
      </w:pPr>
      <w:r>
        <w:rPr>
          <w:rFonts w:hint="eastAsia" w:ascii="仿宋_GB2312" w:eastAsia="仿宋_GB2312"/>
          <w:b/>
          <w:color w:val="auto"/>
          <w:sz w:val="32"/>
          <w:szCs w:val="32"/>
        </w:rPr>
        <w:t>（</w:t>
      </w:r>
      <w:r>
        <w:rPr>
          <w:rFonts w:hint="eastAsia" w:ascii="仿宋_GB2312" w:eastAsia="仿宋_GB2312"/>
          <w:b/>
          <w:color w:val="auto"/>
          <w:sz w:val="32"/>
          <w:szCs w:val="32"/>
          <w:lang w:eastAsia="zh-CN"/>
        </w:rPr>
        <w:t>二</w:t>
      </w:r>
      <w:r>
        <w:rPr>
          <w:rFonts w:hint="eastAsia" w:ascii="仿宋_GB2312" w:eastAsia="仿宋_GB2312"/>
          <w:b/>
          <w:color w:val="auto"/>
          <w:sz w:val="32"/>
          <w:szCs w:val="32"/>
        </w:rPr>
        <w:t>）</w:t>
      </w:r>
      <w:r>
        <w:rPr>
          <w:rFonts w:hint="eastAsia" w:ascii="仿宋_GB2312" w:eastAsia="仿宋_GB2312"/>
          <w:b/>
          <w:color w:val="auto"/>
          <w:sz w:val="32"/>
          <w:szCs w:val="32"/>
          <w:lang w:val="en-US" w:eastAsia="zh-CN"/>
        </w:rPr>
        <w:t>2021-79</w:t>
      </w:r>
      <w:r>
        <w:rPr>
          <w:rFonts w:hint="eastAsia" w:ascii="仿宋_GB2312" w:eastAsia="仿宋_GB2312"/>
          <w:b/>
          <w:color w:val="auto"/>
          <w:sz w:val="32"/>
          <w:szCs w:val="32"/>
        </w:rPr>
        <w:t>号地块</w:t>
      </w:r>
    </w:p>
    <w:p>
      <w:pPr>
        <w:numPr>
          <w:ilvl w:val="0"/>
          <w:numId w:val="0"/>
        </w:numPr>
        <w:spacing w:line="560" w:lineRule="exact"/>
        <w:ind w:firstLine="643" w:firstLineChars="200"/>
        <w:rPr>
          <w:rFonts w:hint="eastAsia" w:ascii="仿宋_GB2312" w:hAnsi="仿宋" w:eastAsia="仿宋_GB2312"/>
          <w:color w:val="auto"/>
          <w:sz w:val="32"/>
          <w:szCs w:val="32"/>
        </w:rPr>
      </w:pPr>
      <w:r>
        <w:rPr>
          <w:rFonts w:hint="eastAsia" w:ascii="仿宋_GB2312" w:hAnsi="新宋体" w:eastAsia="仿宋_GB2312"/>
          <w:b/>
          <w:color w:val="auto"/>
          <w:sz w:val="32"/>
          <w:szCs w:val="32"/>
          <w:lang w:val="en-US" w:eastAsia="zh-CN"/>
        </w:rPr>
        <w:t>1、</w:t>
      </w:r>
      <w:r>
        <w:rPr>
          <w:rFonts w:hint="eastAsia" w:ascii="仿宋_GB2312" w:hAnsi="新宋体" w:eastAsia="仿宋_GB2312"/>
          <w:b/>
          <w:color w:val="auto"/>
          <w:sz w:val="32"/>
          <w:szCs w:val="32"/>
        </w:rPr>
        <w:t>基本情况:</w:t>
      </w:r>
      <w:r>
        <w:rPr>
          <w:rFonts w:hint="eastAsia" w:ascii="仿宋_GB2312" w:hAnsi="新宋体" w:eastAsia="仿宋_GB2312"/>
          <w:b/>
          <w:color w:val="auto"/>
          <w:sz w:val="32"/>
          <w:szCs w:val="32"/>
          <w:lang w:eastAsia="zh-CN"/>
        </w:rPr>
        <w:t>该</w:t>
      </w:r>
      <w:r>
        <w:rPr>
          <w:rFonts w:hint="eastAsia" w:ascii="仿宋_GB2312" w:hAnsi="仿宋" w:eastAsia="仿宋_GB2312"/>
          <w:color w:val="auto"/>
          <w:sz w:val="32"/>
          <w:szCs w:val="32"/>
        </w:rPr>
        <w:t>地块位于</w:t>
      </w:r>
      <w:r>
        <w:rPr>
          <w:rFonts w:hint="eastAsia" w:ascii="仿宋_GB2312" w:hAnsi="仿宋" w:eastAsia="仿宋_GB2312"/>
          <w:color w:val="auto"/>
          <w:sz w:val="32"/>
          <w:szCs w:val="32"/>
          <w:lang w:val="en-US" w:eastAsia="zh-CN"/>
        </w:rPr>
        <w:t>温水镇娄底村</w:t>
      </w:r>
      <w:r>
        <w:rPr>
          <w:rFonts w:hint="eastAsia" w:ascii="仿宋_GB2312" w:hAnsi="仿宋" w:eastAsia="仿宋_GB2312"/>
          <w:color w:val="auto"/>
          <w:sz w:val="32"/>
          <w:szCs w:val="32"/>
        </w:rPr>
        <w:t>，面积</w:t>
      </w:r>
      <w:r>
        <w:rPr>
          <w:rFonts w:hint="eastAsia" w:ascii="仿宋_GB2312" w:hAnsi="仿宋" w:eastAsia="仿宋_GB2312" w:cs="Times New Roman"/>
          <w:color w:val="auto"/>
          <w:sz w:val="32"/>
          <w:szCs w:val="32"/>
          <w:lang w:val="en-US" w:eastAsia="zh-CN"/>
        </w:rPr>
        <w:t>14413.28</w:t>
      </w:r>
      <w:r>
        <w:rPr>
          <w:rFonts w:hint="eastAsia" w:ascii="仿宋_GB2312" w:hAnsi="仿宋" w:eastAsia="仿宋_GB2312"/>
          <w:color w:val="auto"/>
          <w:sz w:val="32"/>
          <w:szCs w:val="32"/>
        </w:rPr>
        <w:t>㎡。</w:t>
      </w:r>
    </w:p>
    <w:p>
      <w:pPr>
        <w:numPr>
          <w:ilvl w:val="0"/>
          <w:numId w:val="0"/>
        </w:numPr>
        <w:spacing w:line="560" w:lineRule="exact"/>
        <w:ind w:firstLine="643" w:firstLineChars="200"/>
        <w:rPr>
          <w:rFonts w:hint="eastAsia" w:ascii="仿宋_GB2312" w:hAnsi="仿宋" w:eastAsia="仿宋_GB2312" w:cs="Times New Roman"/>
          <w:color w:val="auto"/>
          <w:sz w:val="32"/>
          <w:szCs w:val="32"/>
          <w:lang w:val="en-US" w:eastAsia="zh-CN"/>
        </w:rPr>
      </w:pPr>
      <w:r>
        <w:rPr>
          <w:rFonts w:hint="eastAsia" w:ascii="仿宋_GB2312" w:hAnsi="新宋体" w:eastAsia="仿宋_GB2312"/>
          <w:b/>
          <w:color w:val="auto"/>
          <w:sz w:val="32"/>
          <w:szCs w:val="32"/>
          <w:lang w:val="en-US" w:eastAsia="zh-CN"/>
        </w:rPr>
        <w:t>2、</w:t>
      </w:r>
      <w:r>
        <w:rPr>
          <w:rFonts w:hint="eastAsia" w:ascii="仿宋_GB2312" w:hAnsi="新宋体" w:eastAsia="仿宋_GB2312"/>
          <w:b/>
          <w:color w:val="auto"/>
          <w:sz w:val="32"/>
          <w:szCs w:val="32"/>
        </w:rPr>
        <w:t>主要规划经济技术指标</w:t>
      </w:r>
      <w:r>
        <w:rPr>
          <w:rFonts w:hint="eastAsia" w:ascii="仿宋_GB2312" w:hAnsi="新宋体" w:eastAsia="仿宋_GB2312"/>
          <w:b/>
          <w:color w:val="auto"/>
          <w:sz w:val="32"/>
          <w:szCs w:val="32"/>
          <w:lang w:eastAsia="zh-CN"/>
        </w:rPr>
        <w:t>：</w:t>
      </w:r>
      <w:r>
        <w:rPr>
          <w:rFonts w:hint="eastAsia" w:ascii="仿宋_GB2312" w:hAnsi="仿宋" w:eastAsia="仿宋_GB2312" w:cs="Times New Roman"/>
          <w:color w:val="auto"/>
          <w:sz w:val="32"/>
          <w:szCs w:val="32"/>
          <w:lang w:val="en-US" w:eastAsia="zh-CN"/>
        </w:rPr>
        <w:t>规划用地面积14413.28㎡，总建筑面积≥14413.28㎡（建筑层高超过8米加倍计算该层计容建筑面积），容积率≥1.0，绿地率≤20%，建筑密度≥30%，停车位≥13个，建筑限高≤21.6米。</w:t>
      </w:r>
    </w:p>
    <w:p>
      <w:pPr>
        <w:numPr>
          <w:ilvl w:val="0"/>
          <w:numId w:val="0"/>
        </w:numPr>
        <w:spacing w:line="560" w:lineRule="exact"/>
        <w:ind w:firstLine="643" w:firstLineChars="200"/>
        <w:rPr>
          <w:rFonts w:hint="eastAsia" w:ascii="仿宋_GB2312" w:hAnsi="仿宋" w:eastAsia="仿宋_GB2312"/>
          <w:color w:val="auto"/>
          <w:sz w:val="32"/>
          <w:szCs w:val="32"/>
          <w:lang w:eastAsia="zh-CN"/>
        </w:rPr>
      </w:pPr>
      <w:r>
        <w:rPr>
          <w:rFonts w:hint="eastAsia" w:ascii="仿宋_GB2312" w:eastAsia="仿宋_GB2312"/>
          <w:b/>
          <w:bCs/>
          <w:color w:val="auto"/>
          <w:sz w:val="32"/>
          <w:szCs w:val="32"/>
          <w:lang w:val="en-US" w:eastAsia="zh-CN"/>
        </w:rPr>
        <w:t>3、</w:t>
      </w:r>
      <w:r>
        <w:rPr>
          <w:rFonts w:hint="eastAsia" w:ascii="仿宋_GB2312" w:eastAsia="仿宋_GB2312"/>
          <w:b/>
          <w:bCs/>
          <w:color w:val="auto"/>
          <w:sz w:val="32"/>
          <w:szCs w:val="32"/>
        </w:rPr>
        <w:t>出让年限</w:t>
      </w:r>
      <w:r>
        <w:rPr>
          <w:rFonts w:hint="eastAsia" w:ascii="仿宋_GB2312" w:eastAsia="仿宋_GB2312"/>
          <w:b/>
          <w:bCs/>
          <w:color w:val="auto"/>
          <w:sz w:val="32"/>
          <w:szCs w:val="32"/>
          <w:lang w:eastAsia="zh-CN"/>
        </w:rPr>
        <w:t>：</w:t>
      </w:r>
      <w:r>
        <w:rPr>
          <w:rFonts w:hint="eastAsia" w:ascii="仿宋_GB2312" w:hAnsi="仿宋" w:eastAsia="仿宋_GB2312"/>
          <w:color w:val="auto"/>
          <w:sz w:val="32"/>
          <w:szCs w:val="32"/>
          <w:lang w:eastAsia="zh-CN"/>
        </w:rPr>
        <w:t>工业用地</w:t>
      </w:r>
      <w:r>
        <w:rPr>
          <w:rFonts w:hint="eastAsia" w:ascii="仿宋_GB2312" w:hAnsi="仿宋" w:eastAsia="仿宋_GB2312"/>
          <w:color w:val="auto"/>
          <w:sz w:val="32"/>
          <w:szCs w:val="32"/>
          <w:lang w:val="en-US" w:eastAsia="zh-CN"/>
        </w:rPr>
        <w:t>50年</w:t>
      </w:r>
      <w:r>
        <w:rPr>
          <w:rFonts w:hint="eastAsia" w:ascii="仿宋_GB2312" w:hAnsi="仿宋" w:eastAsia="仿宋_GB2312"/>
          <w:color w:val="auto"/>
          <w:sz w:val="32"/>
          <w:szCs w:val="32"/>
          <w:lang w:eastAsia="zh-CN"/>
        </w:rPr>
        <w:t>。</w:t>
      </w:r>
    </w:p>
    <w:p>
      <w:pPr>
        <w:tabs>
          <w:tab w:val="left" w:pos="5977"/>
        </w:tabs>
        <w:spacing w:line="560" w:lineRule="exact"/>
        <w:ind w:firstLine="643" w:firstLineChars="200"/>
        <w:rPr>
          <w:rFonts w:hint="eastAsia" w:ascii="仿宋_GB2312" w:eastAsia="仿宋_GB2312"/>
          <w:b/>
          <w:color w:val="auto"/>
          <w:sz w:val="32"/>
          <w:szCs w:val="32"/>
          <w:lang w:eastAsia="zh-CN"/>
        </w:rPr>
      </w:pPr>
      <w:r>
        <w:rPr>
          <w:rFonts w:hint="eastAsia" w:ascii="仿宋_GB2312" w:eastAsia="仿宋_GB2312"/>
          <w:b/>
          <w:bCs/>
          <w:color w:val="auto"/>
          <w:sz w:val="32"/>
          <w:szCs w:val="32"/>
        </w:rPr>
        <w:t>4、出让条件</w:t>
      </w:r>
    </w:p>
    <w:p>
      <w:pPr>
        <w:spacing w:line="560" w:lineRule="exact"/>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val="zh-CN"/>
        </w:rPr>
        <w:t>）竞得人需完善项目立项、林业、环保、地质灾害评估相关手续，相关费用由竞得人负责。</w:t>
      </w:r>
    </w:p>
    <w:p>
      <w:pPr>
        <w:spacing w:line="560" w:lineRule="exact"/>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val="zh-CN"/>
        </w:rPr>
        <w:t>）涉及办理用地手续的相关税费由竞得人按规定缴纳。</w:t>
      </w:r>
    </w:p>
    <w:p>
      <w:pPr>
        <w:spacing w:line="560" w:lineRule="exact"/>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val="zh-CN"/>
        </w:rPr>
        <w:t>）竞得人应该</w:t>
      </w:r>
      <w:r>
        <w:rPr>
          <w:rFonts w:hint="eastAsia" w:ascii="仿宋_GB2312" w:eastAsia="仿宋_GB2312"/>
          <w:color w:val="auto"/>
          <w:sz w:val="32"/>
          <w:szCs w:val="32"/>
        </w:rPr>
        <w:t>严格按照《习水县</w:t>
      </w:r>
      <w:r>
        <w:rPr>
          <w:rFonts w:hint="eastAsia" w:ascii="仿宋_GB2312" w:eastAsia="仿宋_GB2312"/>
          <w:color w:val="auto"/>
          <w:sz w:val="32"/>
          <w:szCs w:val="32"/>
          <w:lang w:val="en-US" w:eastAsia="zh-CN"/>
        </w:rPr>
        <w:t>2021-79</w:t>
      </w:r>
      <w:r>
        <w:rPr>
          <w:rFonts w:hint="eastAsia" w:ascii="仿宋_GB2312" w:hAnsi="仿宋" w:eastAsia="仿宋_GB2312"/>
          <w:color w:val="auto"/>
          <w:sz w:val="32"/>
          <w:szCs w:val="32"/>
        </w:rPr>
        <w:t>号</w:t>
      </w:r>
      <w:r>
        <w:rPr>
          <w:rFonts w:hint="eastAsia" w:ascii="仿宋_GB2312" w:eastAsia="仿宋_GB2312"/>
          <w:color w:val="auto"/>
          <w:sz w:val="32"/>
          <w:szCs w:val="32"/>
        </w:rPr>
        <w:t>地块控制性规划指标的批复》确定的规划经济技术指标进行修建</w:t>
      </w:r>
      <w:r>
        <w:rPr>
          <w:rFonts w:hint="eastAsia" w:ascii="仿宋_GB2312" w:hAnsi="仿宋_GB2312" w:eastAsia="仿宋_GB2312" w:cs="仿宋_GB2312"/>
          <w:color w:val="auto"/>
          <w:kern w:val="0"/>
          <w:sz w:val="32"/>
          <w:szCs w:val="32"/>
          <w:lang w:val="zh-CN"/>
        </w:rPr>
        <w:t>。</w:t>
      </w:r>
    </w:p>
    <w:p>
      <w:pPr>
        <w:spacing w:line="560" w:lineRule="exact"/>
        <w:ind w:firstLine="640" w:firstLineChars="20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sz w:val="32"/>
          <w:szCs w:val="32"/>
          <w:lang w:val="zh-CN"/>
        </w:rPr>
        <w:t>列入危险化学品黑名单企业禁止参与竞买土地。</w:t>
      </w:r>
    </w:p>
    <w:p>
      <w:pPr>
        <w:tabs>
          <w:tab w:val="left" w:pos="705"/>
        </w:tabs>
        <w:spacing w:line="560" w:lineRule="exact"/>
        <w:ind w:firstLine="66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sz w:val="32"/>
          <w:szCs w:val="32"/>
          <w:lang w:val="zh-CN"/>
        </w:rPr>
        <w:t>在土地竞买资格确认前，竞得人需到报名处提供有关金融部门审查合格的资金来源符合证明，不符合要求的，取消土地竞买资格。</w:t>
      </w:r>
    </w:p>
    <w:p>
      <w:pPr>
        <w:tabs>
          <w:tab w:val="left" w:pos="705"/>
        </w:tabs>
        <w:spacing w:line="560" w:lineRule="exact"/>
        <w:ind w:firstLine="6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 房屋征收</w:t>
      </w:r>
    </w:p>
    <w:p>
      <w:pPr>
        <w:tabs>
          <w:tab w:val="left" w:pos="705"/>
        </w:tabs>
        <w:spacing w:line="560" w:lineRule="exact"/>
        <w:ind w:firstLine="6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1、县人民政府负责，温水镇人民政府具体实施。</w:t>
      </w:r>
    </w:p>
    <w:p>
      <w:pPr>
        <w:tabs>
          <w:tab w:val="left" w:pos="705"/>
        </w:tabs>
        <w:spacing w:line="560" w:lineRule="exact"/>
        <w:ind w:firstLine="66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2、征收补偿安置方式:按照县政府批准的房屋征收补偿安置方案执行。</w:t>
      </w:r>
    </w:p>
    <w:p>
      <w:pPr>
        <w:numPr>
          <w:ilvl w:val="0"/>
          <w:numId w:val="0"/>
        </w:num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竞得人在签订成交确认书之日起10日内需持成交确认书与出让人签订《国有建设用地使用权出让合同》。如竞得人逾期未签订《国有建设用地使用权出让合同》，则该宗地本次出让视为无效，且出让人将不再退还竞得人之前缴纳的本宗地的土地出让竞买保证金。</w:t>
      </w:r>
    </w:p>
    <w:p>
      <w:pPr>
        <w:numPr>
          <w:ilvl w:val="0"/>
          <w:numId w:val="0"/>
        </w:num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 w:eastAsia="仿宋_GB2312"/>
          <w:color w:val="auto"/>
          <w:sz w:val="32"/>
          <w:szCs w:val="32"/>
          <w:lang w:val="en-US" w:eastAsia="zh-CN"/>
        </w:rPr>
        <w:t>（8）</w:t>
      </w:r>
      <w:r>
        <w:rPr>
          <w:rFonts w:hint="default" w:ascii="仿宋_GB2312" w:hAnsi="仿宋" w:eastAsia="仿宋_GB2312"/>
          <w:color w:val="auto"/>
          <w:sz w:val="32"/>
          <w:szCs w:val="32"/>
          <w:lang w:val="en-US" w:eastAsia="zh-CN"/>
        </w:rPr>
        <w:t>带规划设计方案出让。</w:t>
      </w:r>
    </w:p>
    <w:p>
      <w:pPr>
        <w:numPr>
          <w:ilvl w:val="0"/>
          <w:numId w:val="0"/>
        </w:numPr>
        <w:spacing w:line="560" w:lineRule="exact"/>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sz w:val="32"/>
          <w:szCs w:val="32"/>
          <w:lang w:val="en-US" w:eastAsia="zh-CN"/>
        </w:rPr>
        <w:t>5</w:t>
      </w:r>
      <w:r>
        <w:rPr>
          <w:rFonts w:hint="eastAsia" w:ascii="仿宋_GB2312" w:hAnsi="宋体" w:eastAsia="仿宋_GB2312"/>
          <w:b/>
          <w:color w:val="auto"/>
          <w:sz w:val="32"/>
          <w:szCs w:val="32"/>
        </w:rPr>
        <w:t>、</w:t>
      </w:r>
      <w:r>
        <w:rPr>
          <w:rFonts w:hint="eastAsia" w:ascii="仿宋_GB2312" w:hAnsi="宋体" w:eastAsia="仿宋_GB2312"/>
          <w:b/>
          <w:color w:val="auto"/>
          <w:sz w:val="32"/>
          <w:szCs w:val="32"/>
          <w:lang w:eastAsia="zh-CN"/>
        </w:rPr>
        <w:t>付款方式及期限：</w:t>
      </w:r>
      <w:r>
        <w:rPr>
          <w:rFonts w:hint="eastAsia" w:ascii="仿宋_GB2312" w:eastAsia="仿宋_GB2312"/>
          <w:color w:val="auto"/>
          <w:sz w:val="32"/>
          <w:szCs w:val="32"/>
        </w:rPr>
        <w:t>竞得人须在成交后30天内缴纳不少于成交价款的50%作为定金，余款按国土资发〔2010〕34号和财综〔2009〕74号执行</w:t>
      </w:r>
      <w:r>
        <w:rPr>
          <w:rFonts w:hint="eastAsia" w:ascii="仿宋_GB2312" w:hAnsi="仿宋_GB2312" w:eastAsia="仿宋_GB2312" w:cs="仿宋_GB2312"/>
          <w:color w:val="auto"/>
          <w:kern w:val="0"/>
          <w:sz w:val="32"/>
          <w:szCs w:val="32"/>
          <w:lang w:val="zh-CN"/>
        </w:rPr>
        <w:t>。</w:t>
      </w:r>
    </w:p>
    <w:p>
      <w:pPr>
        <w:spacing w:line="560" w:lineRule="exact"/>
        <w:ind w:firstLine="643" w:firstLineChars="200"/>
        <w:rPr>
          <w:rFonts w:hint="eastAsia" w:ascii="仿宋_GB2312" w:hAnsi="仿宋" w:eastAsia="仿宋_GB2312"/>
          <w:b/>
          <w:bCs/>
          <w:color w:val="auto"/>
          <w:sz w:val="32"/>
          <w:szCs w:val="32"/>
        </w:rPr>
      </w:pPr>
      <w:r>
        <w:rPr>
          <w:rFonts w:hint="eastAsia" w:ascii="仿宋_GB2312" w:hAnsi="仿宋" w:eastAsia="仿宋_GB2312"/>
          <w:b/>
          <w:bCs/>
          <w:color w:val="auto"/>
          <w:sz w:val="32"/>
          <w:szCs w:val="32"/>
          <w:lang w:eastAsia="zh-CN"/>
        </w:rPr>
        <w:t>二</w:t>
      </w:r>
      <w:r>
        <w:rPr>
          <w:rFonts w:hint="eastAsia" w:ascii="仿宋_GB2312" w:hAnsi="仿宋" w:eastAsia="仿宋_GB2312"/>
          <w:b/>
          <w:bCs/>
          <w:color w:val="auto"/>
          <w:sz w:val="32"/>
          <w:szCs w:val="32"/>
        </w:rPr>
        <w:t>．出让方式</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根据国家有关规定，结合我县实际，为体现“公开、公平、公正”的原则，最大限度发挥土地资产效益，确定以挂牌方式出让。</w:t>
      </w:r>
    </w:p>
    <w:p>
      <w:pPr>
        <w:numPr>
          <w:ilvl w:val="0"/>
          <w:numId w:val="0"/>
        </w:numPr>
        <w:spacing w:line="560" w:lineRule="exact"/>
        <w:ind w:firstLine="643" w:firstLineChars="200"/>
        <w:rPr>
          <w:rFonts w:hint="eastAsia" w:ascii="仿宋_GB2312" w:hAnsi="仿宋" w:eastAsia="仿宋_GB2312"/>
          <w:b/>
          <w:bCs/>
          <w:color w:val="auto"/>
          <w:sz w:val="32"/>
          <w:szCs w:val="32"/>
        </w:rPr>
      </w:pPr>
      <w:r>
        <w:rPr>
          <w:rFonts w:hint="eastAsia" w:ascii="仿宋_GB2312" w:hAnsi="仿宋" w:eastAsia="仿宋_GB2312"/>
          <w:b/>
          <w:bCs/>
          <w:color w:val="auto"/>
          <w:sz w:val="32"/>
          <w:szCs w:val="32"/>
          <w:lang w:eastAsia="zh-CN"/>
        </w:rPr>
        <w:t>三、</w:t>
      </w:r>
      <w:r>
        <w:rPr>
          <w:rFonts w:hint="eastAsia" w:ascii="仿宋_GB2312" w:hAnsi="仿宋" w:eastAsia="仿宋_GB2312"/>
          <w:b/>
          <w:bCs/>
          <w:color w:val="auto"/>
          <w:sz w:val="32"/>
          <w:szCs w:val="32"/>
        </w:rPr>
        <w:t>出让合同</w:t>
      </w:r>
    </w:p>
    <w:p>
      <w:pPr>
        <w:numPr>
          <w:ilvl w:val="0"/>
          <w:numId w:val="0"/>
        </w:num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根据《贵州省国土资源厅贵州省工商行政管理局关于转发国土资源部国家工商行政管理总局〈关于发布国有建设用地使用权出让合同示范文本的通知〉的通知》（黔国土资发〔2008〕83号）规定，本期土地出让执行自然资源部、国家工商行政管理局发布的《国有建设用地使用权出让合同》。</w:t>
      </w:r>
    </w:p>
    <w:p>
      <w:pPr>
        <w:numPr>
          <w:ilvl w:val="0"/>
          <w:numId w:val="0"/>
        </w:numPr>
        <w:spacing w:line="560" w:lineRule="exact"/>
        <w:ind w:firstLine="643" w:firstLineChars="200"/>
        <w:rPr>
          <w:rFonts w:hint="eastAsia" w:ascii="仿宋_GB2312" w:hAnsi="仿宋" w:eastAsia="仿宋_GB2312" w:cs="Times New Roman"/>
          <w:b/>
          <w:bCs/>
          <w:color w:val="auto"/>
          <w:sz w:val="32"/>
          <w:szCs w:val="32"/>
          <w:lang w:eastAsia="zh-CN"/>
        </w:rPr>
      </w:pPr>
      <w:r>
        <w:rPr>
          <w:rFonts w:hint="eastAsia" w:ascii="仿宋_GB2312" w:hAnsi="仿宋" w:eastAsia="仿宋_GB2312" w:cs="Times New Roman"/>
          <w:b/>
          <w:bCs/>
          <w:color w:val="auto"/>
          <w:sz w:val="32"/>
          <w:szCs w:val="32"/>
          <w:lang w:eastAsia="zh-CN"/>
        </w:rPr>
        <w:t>四、土地使用条件</w:t>
      </w:r>
    </w:p>
    <w:p>
      <w:pPr>
        <w:numPr>
          <w:ilvl w:val="0"/>
          <w:numId w:val="0"/>
        </w:num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土地使用必须符合自然资源、住建、生态环境、林业等部门的要求</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用地范围应在界桩定点的用地红线范围内</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土地利用应符合规划用地经济技术指标要求</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其他条件必须符合《国有建设用地使用权出让合同》的限制和约定。</w:t>
      </w:r>
    </w:p>
    <w:p>
      <w:pPr>
        <w:spacing w:line="560" w:lineRule="exact"/>
        <w:ind w:firstLine="643" w:firstLineChars="200"/>
        <w:rPr>
          <w:rFonts w:hint="eastAsia" w:ascii="仿宋_GB2312" w:hAnsi="仿宋" w:eastAsia="仿宋_GB2312" w:cs="Times New Roman"/>
          <w:b/>
          <w:bCs/>
          <w:color w:val="auto"/>
          <w:sz w:val="32"/>
          <w:szCs w:val="32"/>
          <w:lang w:eastAsia="zh-CN"/>
        </w:rPr>
      </w:pPr>
      <w:r>
        <w:rPr>
          <w:rFonts w:hint="eastAsia" w:ascii="仿宋_GB2312" w:hAnsi="仿宋" w:eastAsia="仿宋_GB2312" w:cs="Times New Roman"/>
          <w:b/>
          <w:bCs/>
          <w:color w:val="auto"/>
          <w:sz w:val="32"/>
          <w:szCs w:val="32"/>
          <w:lang w:eastAsia="zh-CN"/>
        </w:rPr>
        <w:t>五、出让起始价、竞买保证金及竞价幅度</w:t>
      </w:r>
    </w:p>
    <w:p>
      <w:pPr>
        <w:numPr>
          <w:ilvl w:val="0"/>
          <w:numId w:val="0"/>
        </w:numPr>
        <w:spacing w:line="560" w:lineRule="exact"/>
        <w:ind w:firstLine="640" w:firstLineChars="200"/>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2021-78号地块起始价为1625万元，竞买保证金488万元，竞价幅度30万元。</w:t>
      </w:r>
    </w:p>
    <w:p>
      <w:pPr>
        <w:numPr>
          <w:ilvl w:val="0"/>
          <w:numId w:val="0"/>
        </w:numPr>
        <w:spacing w:line="560" w:lineRule="exact"/>
        <w:ind w:firstLine="640" w:firstLineChars="200"/>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2021-79号地块起始价为346万元，竞买保证金104万元，竞价幅度10万元。</w:t>
      </w:r>
    </w:p>
    <w:p>
      <w:pPr>
        <w:adjustRightInd w:val="0"/>
        <w:snapToGrid w:val="0"/>
        <w:spacing w:line="600" w:lineRule="exact"/>
        <w:ind w:firstLine="627" w:firstLineChars="196"/>
        <w:rPr>
          <w:rFonts w:ascii="黑体" w:hAnsi="黑体" w:eastAsia="黑体"/>
          <w:color w:val="auto"/>
          <w:sz w:val="32"/>
          <w:szCs w:val="32"/>
        </w:rPr>
      </w:pPr>
      <w:r>
        <w:rPr>
          <w:rFonts w:hint="eastAsia" w:ascii="黑体" w:hAnsi="黑体" w:eastAsia="黑体"/>
          <w:color w:val="auto"/>
          <w:sz w:val="32"/>
          <w:szCs w:val="32"/>
          <w:lang w:eastAsia="zh-CN"/>
        </w:rPr>
        <w:t>六</w:t>
      </w:r>
      <w:r>
        <w:rPr>
          <w:rFonts w:hint="eastAsia" w:ascii="黑体" w:hAnsi="黑体" w:eastAsia="黑体"/>
          <w:color w:val="auto"/>
          <w:sz w:val="32"/>
          <w:szCs w:val="32"/>
        </w:rPr>
        <w:t>、出让相关要求</w:t>
      </w:r>
    </w:p>
    <w:p>
      <w:pPr>
        <w:adjustRightInd w:val="0"/>
        <w:snapToGrid w:val="0"/>
        <w:spacing w:line="600" w:lineRule="exact"/>
        <w:ind w:firstLine="633" w:firstLineChars="198"/>
        <w:rPr>
          <w:rFonts w:ascii="仿宋_GB2312" w:eastAsia="仿宋_GB2312"/>
          <w:color w:val="auto"/>
          <w:sz w:val="32"/>
          <w:szCs w:val="32"/>
        </w:rPr>
      </w:pPr>
      <w:r>
        <w:rPr>
          <w:rFonts w:hint="eastAsia" w:ascii="仿宋_GB2312" w:hAnsi="新宋体" w:eastAsia="仿宋_GB2312"/>
          <w:color w:val="auto"/>
          <w:sz w:val="32"/>
          <w:szCs w:val="32"/>
        </w:rPr>
        <w:t>1．土地出让其它条件</w:t>
      </w:r>
    </w:p>
    <w:p>
      <w:pPr>
        <w:spacing w:line="600" w:lineRule="exact"/>
        <w:ind w:firstLine="640" w:firstLineChars="200"/>
        <w:rPr>
          <w:rFonts w:ascii="仿宋_GB2312" w:hAnsi="新宋体" w:eastAsia="仿宋_GB2312"/>
          <w:color w:val="auto"/>
          <w:sz w:val="32"/>
          <w:szCs w:val="32"/>
        </w:rPr>
      </w:pPr>
      <w:r>
        <w:rPr>
          <w:rFonts w:hint="eastAsia" w:ascii="仿宋_GB2312" w:hAnsi="新宋体" w:eastAsia="仿宋_GB2312"/>
          <w:color w:val="auto"/>
          <w:sz w:val="32"/>
          <w:szCs w:val="32"/>
        </w:rPr>
        <w:t>本期出让各地块土地使用范围应在自然资源部门核定的用地红线范围内</w:t>
      </w:r>
      <w:r>
        <w:rPr>
          <w:rFonts w:hint="eastAsia" w:ascii="仿宋_GB2312" w:hAnsi="新宋体" w:eastAsia="仿宋_GB2312"/>
          <w:color w:val="auto"/>
          <w:sz w:val="32"/>
          <w:szCs w:val="32"/>
          <w:lang w:eastAsia="zh-CN"/>
        </w:rPr>
        <w:t>，</w:t>
      </w:r>
      <w:r>
        <w:rPr>
          <w:rFonts w:hint="eastAsia" w:ascii="仿宋_GB2312" w:hAnsi="新宋体" w:eastAsia="仿宋_GB2312"/>
          <w:color w:val="auto"/>
          <w:sz w:val="32"/>
          <w:szCs w:val="32"/>
        </w:rPr>
        <w:t>土地利用应符合规划部门核定的规划用途和规划经济技术指标等条件，不得擅自改变和调整。其他条件须符合出让合同的规定。</w:t>
      </w:r>
    </w:p>
    <w:p>
      <w:pPr>
        <w:spacing w:line="600" w:lineRule="exact"/>
        <w:ind w:firstLine="640" w:firstLineChars="200"/>
        <w:rPr>
          <w:rFonts w:ascii="仿宋_GB2312" w:hAnsi="新宋体" w:eastAsia="仿宋_GB2312"/>
          <w:color w:val="auto"/>
          <w:sz w:val="32"/>
          <w:szCs w:val="32"/>
        </w:rPr>
      </w:pPr>
      <w:r>
        <w:rPr>
          <w:rFonts w:hint="eastAsia" w:ascii="仿宋_GB2312" w:hAnsi="新宋体" w:eastAsia="仿宋_GB2312"/>
          <w:color w:val="auto"/>
          <w:sz w:val="32"/>
          <w:szCs w:val="32"/>
        </w:rPr>
        <w:t>凡有拖欠土地出让金、违反出让合同、闲置土地等不良记录的，及其参股、控股、投资的单位、个人和其他组织，均不得参加本次竞买。挂牌或拍卖过程中若发现有上述不良记录的，取消其竞买资格</w:t>
      </w:r>
      <w:r>
        <w:rPr>
          <w:rFonts w:hint="eastAsia" w:ascii="仿宋_GB2312" w:hAnsi="新宋体" w:eastAsia="仿宋_GB2312"/>
          <w:color w:val="auto"/>
          <w:sz w:val="32"/>
          <w:szCs w:val="32"/>
          <w:lang w:eastAsia="zh-CN"/>
        </w:rPr>
        <w:t>，</w:t>
      </w:r>
      <w:r>
        <w:rPr>
          <w:rFonts w:hint="eastAsia" w:ascii="仿宋_GB2312" w:hAnsi="新宋体" w:eastAsia="仿宋_GB2312"/>
          <w:color w:val="auto"/>
          <w:sz w:val="32"/>
          <w:szCs w:val="32"/>
        </w:rPr>
        <w:t>对已签订成交确认书或出让合同的，出让人有权终止已签订的成交确认书或出让合同。由此带来的一切后果和法律责任由竞得人自行承担。</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申请人竞得土地后，拟成立新公司进行开发建设的，应在申请书中明确新公司的出资构成、成立时间等内容。</w:t>
      </w:r>
    </w:p>
    <w:p>
      <w:pPr>
        <w:spacing w:line="600" w:lineRule="exact"/>
        <w:ind w:firstLine="640" w:firstLineChars="200"/>
        <w:rPr>
          <w:rFonts w:ascii="仿宋_GB2312" w:hAnsi="新宋体" w:eastAsia="仿宋_GB2312"/>
          <w:color w:val="auto"/>
          <w:sz w:val="32"/>
          <w:szCs w:val="32"/>
        </w:rPr>
      </w:pPr>
      <w:r>
        <w:rPr>
          <w:rFonts w:ascii="仿宋_GB2312" w:hAnsi="新宋体" w:eastAsia="仿宋_GB2312"/>
          <w:color w:val="auto"/>
          <w:sz w:val="32"/>
          <w:szCs w:val="32"/>
        </w:rPr>
        <w:t>2</w:t>
      </w:r>
      <w:r>
        <w:rPr>
          <w:rFonts w:hint="eastAsia" w:ascii="仿宋_GB2312" w:hAnsi="新宋体" w:eastAsia="仿宋_GB2312"/>
          <w:color w:val="auto"/>
          <w:sz w:val="32"/>
          <w:szCs w:val="32"/>
        </w:rPr>
        <w:t>．</w:t>
      </w:r>
      <w:r>
        <w:rPr>
          <w:rFonts w:ascii="仿宋_GB2312" w:hAnsi="宋体" w:eastAsia="仿宋_GB2312"/>
          <w:bCs/>
          <w:color w:val="auto"/>
          <w:sz w:val="32"/>
          <w:szCs w:val="32"/>
        </w:rPr>
        <w:t>保证金及定金</w:t>
      </w:r>
    </w:p>
    <w:p>
      <w:pPr>
        <w:adjustRightInd w:val="0"/>
        <w:snapToGrid w:val="0"/>
        <w:spacing w:line="600" w:lineRule="exact"/>
        <w:ind w:firstLine="640" w:firstLineChars="200"/>
        <w:rPr>
          <w:rFonts w:ascii="仿宋_GB2312" w:hAnsi="新宋体" w:eastAsia="仿宋_GB2312"/>
          <w:color w:val="auto"/>
          <w:sz w:val="32"/>
          <w:szCs w:val="32"/>
        </w:rPr>
      </w:pPr>
      <w:r>
        <w:rPr>
          <w:rFonts w:hint="eastAsia" w:ascii="仿宋_GB2312" w:hAnsi="新宋体" w:eastAsia="仿宋_GB2312"/>
          <w:color w:val="auto"/>
          <w:sz w:val="32"/>
          <w:szCs w:val="32"/>
        </w:rPr>
        <w:t>未竞得土地的竞买人支付的竞买保证金，在招标拍卖挂牌活动结束后5个工作日内予以退还，不计利息。</w:t>
      </w:r>
    </w:p>
    <w:p>
      <w:pPr>
        <w:adjustRightInd w:val="0"/>
        <w:snapToGrid w:val="0"/>
        <w:spacing w:line="600" w:lineRule="exact"/>
        <w:ind w:firstLine="640" w:firstLineChars="200"/>
        <w:rPr>
          <w:rFonts w:ascii="仿宋_GB2312" w:hAnsi="新宋体" w:eastAsia="仿宋_GB2312"/>
          <w:color w:val="auto"/>
          <w:sz w:val="32"/>
          <w:szCs w:val="32"/>
        </w:rPr>
      </w:pPr>
      <w:r>
        <w:rPr>
          <w:rFonts w:hint="eastAsia" w:ascii="仿宋_GB2312" w:hAnsi="新宋体" w:eastAsia="仿宋_GB2312"/>
          <w:color w:val="auto"/>
          <w:sz w:val="32"/>
          <w:szCs w:val="32"/>
        </w:rPr>
        <w:t>本期出让地块成交后，竞得人已交纳的地块竞买保证金自动转付为成交地块的定金，</w:t>
      </w:r>
      <w:r>
        <w:rPr>
          <w:rFonts w:hint="eastAsia" w:ascii="仿宋_GB2312" w:hAnsi="新宋体" w:eastAsia="仿宋_GB2312"/>
          <w:color w:val="auto"/>
          <w:sz w:val="32"/>
          <w:szCs w:val="32"/>
          <w:lang w:val="en-US" w:eastAsia="zh-CN"/>
        </w:rPr>
        <w:t>2021-78号、2021-79号宗地</w:t>
      </w:r>
      <w:r>
        <w:rPr>
          <w:rFonts w:hint="eastAsia" w:ascii="仿宋_GB2312" w:hAnsi="新宋体" w:eastAsia="仿宋_GB2312"/>
          <w:color w:val="auto"/>
          <w:sz w:val="32"/>
          <w:szCs w:val="32"/>
        </w:rPr>
        <w:t>定金数额按照</w:t>
      </w:r>
      <w:r>
        <w:rPr>
          <w:rFonts w:hint="eastAsia" w:ascii="仿宋_GB2312" w:hAnsi="新宋体" w:eastAsia="仿宋_GB2312"/>
          <w:color w:val="auto"/>
          <w:sz w:val="32"/>
          <w:szCs w:val="32"/>
          <w:lang w:eastAsia="zh-CN"/>
        </w:rPr>
        <w:t>挂牌起始价</w:t>
      </w:r>
      <w:r>
        <w:rPr>
          <w:rFonts w:hint="eastAsia" w:ascii="仿宋_GB2312" w:hAnsi="新宋体" w:eastAsia="仿宋_GB2312"/>
          <w:color w:val="auto"/>
          <w:sz w:val="32"/>
          <w:szCs w:val="32"/>
        </w:rPr>
        <w:t>的</w:t>
      </w:r>
      <w:r>
        <w:rPr>
          <w:rFonts w:hint="eastAsia" w:ascii="仿宋_GB2312" w:hAnsi="新宋体" w:eastAsia="仿宋_GB2312"/>
          <w:color w:val="auto"/>
          <w:sz w:val="32"/>
          <w:szCs w:val="32"/>
          <w:lang w:val="en-US" w:eastAsia="zh-CN"/>
        </w:rPr>
        <w:t>3</w:t>
      </w:r>
      <w:r>
        <w:rPr>
          <w:rFonts w:hint="eastAsia" w:ascii="仿宋_GB2312" w:hAnsi="新宋体" w:eastAsia="仿宋_GB2312"/>
          <w:color w:val="auto"/>
          <w:sz w:val="32"/>
          <w:szCs w:val="32"/>
        </w:rPr>
        <w:t>0%执行</w:t>
      </w:r>
      <w:bookmarkStart w:id="0" w:name="_GoBack"/>
      <w:bookmarkEnd w:id="0"/>
      <w:r>
        <w:rPr>
          <w:rFonts w:hint="eastAsia" w:ascii="仿宋_GB2312" w:hAnsi="新宋体" w:eastAsia="仿宋_GB2312"/>
          <w:color w:val="auto"/>
          <w:sz w:val="32"/>
          <w:szCs w:val="32"/>
          <w:lang w:eastAsia="zh-CN"/>
        </w:rPr>
        <w:t>，</w:t>
      </w:r>
      <w:r>
        <w:rPr>
          <w:rFonts w:hint="eastAsia" w:ascii="仿宋_GB2312" w:hAnsi="新宋体" w:eastAsia="仿宋_GB2312"/>
          <w:color w:val="auto"/>
          <w:sz w:val="32"/>
          <w:szCs w:val="32"/>
        </w:rPr>
        <w:t>土地出让成交后，竞买人应在10个工作日内签订出让合同，合同签订后定金和多余的保证金转为成交地块土地出让金，竞得人逾期不签订出让合同的，终止供地，不退还定金。</w:t>
      </w:r>
    </w:p>
    <w:p>
      <w:pPr>
        <w:spacing w:line="600" w:lineRule="exact"/>
        <w:ind w:firstLine="627" w:firstLineChars="196"/>
        <w:rPr>
          <w:rFonts w:ascii="仿宋_GB2312" w:hAnsi="新宋体" w:eastAsia="仿宋_GB2312"/>
          <w:color w:val="auto"/>
          <w:sz w:val="32"/>
          <w:szCs w:val="32"/>
        </w:rPr>
      </w:pPr>
      <w:r>
        <w:rPr>
          <w:rFonts w:hint="eastAsia" w:ascii="仿宋_GB2312" w:hAnsi="宋体" w:eastAsia="仿宋_GB2312"/>
          <w:bCs/>
          <w:color w:val="auto"/>
          <w:sz w:val="32"/>
          <w:szCs w:val="32"/>
        </w:rPr>
        <w:t>3．出让合同签订及相关土地手续办理</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本次土地出让执行自然资源部、国家工商行政管理总局发布的《国有建设用地使用权出让合同》。</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本次出让成交地块按下列程序办理</w:t>
      </w:r>
      <w:r>
        <w:rPr>
          <w:rFonts w:hint="eastAsia" w:ascii="仿宋_GB2312" w:eastAsia="仿宋_GB2312"/>
          <w:color w:val="auto"/>
          <w:kern w:val="0"/>
          <w:sz w:val="32"/>
          <w:szCs w:val="32"/>
        </w:rPr>
        <w:t>竞得人须在挂牌出让成交后十日内</w:t>
      </w:r>
      <w:r>
        <w:rPr>
          <w:rFonts w:hint="eastAsia" w:ascii="仿宋_GB2312" w:hAnsi="宋体" w:eastAsia="仿宋_GB2312"/>
          <w:color w:val="auto"/>
          <w:sz w:val="32"/>
          <w:szCs w:val="32"/>
        </w:rPr>
        <w:t>持《成交确认书》等相关手续和证件，与出让人签订《国有建设用地使用权出让合同》。</w:t>
      </w:r>
    </w:p>
    <w:p>
      <w:pPr>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本次挂牌出让地块，竞得人须按出让合同约定交清土地出让金后，方可办理相关土地手续。</w:t>
      </w:r>
    </w:p>
    <w:p>
      <w:pPr>
        <w:spacing w:line="600" w:lineRule="exact"/>
        <w:ind w:firstLine="636" w:firstLineChars="199"/>
        <w:rPr>
          <w:rFonts w:ascii="仿宋_GB2312" w:hAnsi="宋体" w:eastAsia="仿宋_GB2312"/>
          <w:color w:val="auto"/>
          <w:sz w:val="32"/>
          <w:szCs w:val="32"/>
        </w:rPr>
        <w:sectPr>
          <w:headerReference r:id="rId3" w:type="default"/>
          <w:footerReference r:id="rId4" w:type="default"/>
          <w:footerReference r:id="rId5" w:type="even"/>
          <w:pgSz w:w="11907" w:h="16840"/>
          <w:pgMar w:top="1928" w:right="1474" w:bottom="1701" w:left="1588" w:header="851" w:footer="1418" w:gutter="0"/>
          <w:cols w:space="720" w:num="1"/>
          <w:docGrid w:type="lines" w:linePitch="312" w:charSpace="0"/>
        </w:sectPr>
      </w:pPr>
      <w:r>
        <w:rPr>
          <w:rFonts w:hint="eastAsia" w:ascii="仿宋_GB2312" w:hAnsi="宋体" w:eastAsia="仿宋_GB2312"/>
          <w:color w:val="auto"/>
          <w:sz w:val="32"/>
          <w:szCs w:val="32"/>
        </w:rPr>
        <w:t>4．未尽事宜依照《国土资源部招标拍卖挂牌出让国有土地使用权规范》（试行）的有关规定办理。</w:t>
      </w:r>
    </w:p>
    <w:p>
      <w:pPr>
        <w:spacing w:line="600" w:lineRule="exact"/>
        <w:rPr>
          <w:rFonts w:ascii="仿宋_GB2312" w:hAnsi="宋体" w:eastAsia="仿宋_GB2312"/>
          <w:color w:val="auto"/>
          <w:sz w:val="32"/>
          <w:szCs w:val="32"/>
        </w:rPr>
      </w:pPr>
    </w:p>
    <w:sectPr>
      <w:headerReference r:id="rId6" w:type="default"/>
      <w:footerReference r:id="rId7" w:type="default"/>
      <w:footerReference r:id="rId8" w:type="even"/>
      <w:type w:val="continuous"/>
      <w:pgSz w:w="11907" w:h="16840"/>
      <w:pgMar w:top="1928" w:right="1474" w:bottom="1701"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8" w:rightChars="161"/>
      <w:jc w:val="righ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2" w:firstLineChars="101"/>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8</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8" w:rightChars="161"/>
      <w:jc w:val="righ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15</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2" w:firstLineChars="101"/>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10</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678AF8"/>
    <w:multiLevelType w:val="singleLevel"/>
    <w:tmpl w:val="B2678A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D4A82"/>
    <w:rsid w:val="00000742"/>
    <w:rsid w:val="000047D0"/>
    <w:rsid w:val="000048C5"/>
    <w:rsid w:val="00007C8C"/>
    <w:rsid w:val="00015322"/>
    <w:rsid w:val="0001629E"/>
    <w:rsid w:val="00024B9E"/>
    <w:rsid w:val="000309C6"/>
    <w:rsid w:val="00036939"/>
    <w:rsid w:val="00040567"/>
    <w:rsid w:val="000620FC"/>
    <w:rsid w:val="00070365"/>
    <w:rsid w:val="000704E8"/>
    <w:rsid w:val="00072530"/>
    <w:rsid w:val="000748C5"/>
    <w:rsid w:val="00084132"/>
    <w:rsid w:val="000A1F0E"/>
    <w:rsid w:val="000A5EB5"/>
    <w:rsid w:val="000B1BEC"/>
    <w:rsid w:val="000B2075"/>
    <w:rsid w:val="000B5C76"/>
    <w:rsid w:val="000D4517"/>
    <w:rsid w:val="000E294E"/>
    <w:rsid w:val="000F346D"/>
    <w:rsid w:val="000F4E89"/>
    <w:rsid w:val="00103233"/>
    <w:rsid w:val="001062CE"/>
    <w:rsid w:val="00122058"/>
    <w:rsid w:val="00122BAC"/>
    <w:rsid w:val="001325E1"/>
    <w:rsid w:val="001425B4"/>
    <w:rsid w:val="0014382B"/>
    <w:rsid w:val="001479DE"/>
    <w:rsid w:val="00150136"/>
    <w:rsid w:val="001508D2"/>
    <w:rsid w:val="001520E8"/>
    <w:rsid w:val="0015214B"/>
    <w:rsid w:val="00152A75"/>
    <w:rsid w:val="001552C7"/>
    <w:rsid w:val="00155CB1"/>
    <w:rsid w:val="00166E11"/>
    <w:rsid w:val="0017406E"/>
    <w:rsid w:val="001845B3"/>
    <w:rsid w:val="001940B3"/>
    <w:rsid w:val="001B4B3F"/>
    <w:rsid w:val="001B6D7B"/>
    <w:rsid w:val="001C0151"/>
    <w:rsid w:val="001D3987"/>
    <w:rsid w:val="001D5CAD"/>
    <w:rsid w:val="001E2856"/>
    <w:rsid w:val="001F1F2A"/>
    <w:rsid w:val="001F2D7A"/>
    <w:rsid w:val="001F45C0"/>
    <w:rsid w:val="00200DF7"/>
    <w:rsid w:val="0021417B"/>
    <w:rsid w:val="00215A77"/>
    <w:rsid w:val="00220C7C"/>
    <w:rsid w:val="00233F69"/>
    <w:rsid w:val="00234938"/>
    <w:rsid w:val="00237223"/>
    <w:rsid w:val="002433CC"/>
    <w:rsid w:val="00250FAE"/>
    <w:rsid w:val="00252A78"/>
    <w:rsid w:val="00255EC1"/>
    <w:rsid w:val="0026437E"/>
    <w:rsid w:val="00264C8E"/>
    <w:rsid w:val="0027306C"/>
    <w:rsid w:val="00283233"/>
    <w:rsid w:val="0029279F"/>
    <w:rsid w:val="00292848"/>
    <w:rsid w:val="002A2DC8"/>
    <w:rsid w:val="002B1716"/>
    <w:rsid w:val="002B67E3"/>
    <w:rsid w:val="002C4321"/>
    <w:rsid w:val="002C5619"/>
    <w:rsid w:val="002E2761"/>
    <w:rsid w:val="002E5C90"/>
    <w:rsid w:val="002F72FE"/>
    <w:rsid w:val="00300A36"/>
    <w:rsid w:val="00304212"/>
    <w:rsid w:val="003058AA"/>
    <w:rsid w:val="0031317B"/>
    <w:rsid w:val="0031488B"/>
    <w:rsid w:val="00330B99"/>
    <w:rsid w:val="00334560"/>
    <w:rsid w:val="00342D76"/>
    <w:rsid w:val="00346CFD"/>
    <w:rsid w:val="00347F31"/>
    <w:rsid w:val="00352094"/>
    <w:rsid w:val="00354C1C"/>
    <w:rsid w:val="003560C1"/>
    <w:rsid w:val="0036070C"/>
    <w:rsid w:val="00372628"/>
    <w:rsid w:val="0037278C"/>
    <w:rsid w:val="00376C64"/>
    <w:rsid w:val="0037733F"/>
    <w:rsid w:val="00383B64"/>
    <w:rsid w:val="0038628D"/>
    <w:rsid w:val="0038642C"/>
    <w:rsid w:val="00393ED7"/>
    <w:rsid w:val="003A097E"/>
    <w:rsid w:val="003A6BB9"/>
    <w:rsid w:val="003B6321"/>
    <w:rsid w:val="003B6E38"/>
    <w:rsid w:val="003C0876"/>
    <w:rsid w:val="003C0CE7"/>
    <w:rsid w:val="003C2C95"/>
    <w:rsid w:val="003C2F24"/>
    <w:rsid w:val="003D5A86"/>
    <w:rsid w:val="003D6FB2"/>
    <w:rsid w:val="003E0067"/>
    <w:rsid w:val="003E3440"/>
    <w:rsid w:val="003E6CC8"/>
    <w:rsid w:val="003E73CB"/>
    <w:rsid w:val="004016CA"/>
    <w:rsid w:val="0040295A"/>
    <w:rsid w:val="004252D1"/>
    <w:rsid w:val="00425A7E"/>
    <w:rsid w:val="0042691F"/>
    <w:rsid w:val="0043011C"/>
    <w:rsid w:val="00432262"/>
    <w:rsid w:val="00433284"/>
    <w:rsid w:val="004457A9"/>
    <w:rsid w:val="0046427F"/>
    <w:rsid w:val="00474E75"/>
    <w:rsid w:val="004828EB"/>
    <w:rsid w:val="00490A00"/>
    <w:rsid w:val="00493EF8"/>
    <w:rsid w:val="00494316"/>
    <w:rsid w:val="00496708"/>
    <w:rsid w:val="00497610"/>
    <w:rsid w:val="004B64B8"/>
    <w:rsid w:val="004B72D3"/>
    <w:rsid w:val="004D4910"/>
    <w:rsid w:val="004E4C90"/>
    <w:rsid w:val="004F6F0F"/>
    <w:rsid w:val="005050C4"/>
    <w:rsid w:val="00506026"/>
    <w:rsid w:val="005060D3"/>
    <w:rsid w:val="00506D8F"/>
    <w:rsid w:val="00510765"/>
    <w:rsid w:val="005127B0"/>
    <w:rsid w:val="00524034"/>
    <w:rsid w:val="0052453A"/>
    <w:rsid w:val="0053012D"/>
    <w:rsid w:val="00534276"/>
    <w:rsid w:val="0053695F"/>
    <w:rsid w:val="00546423"/>
    <w:rsid w:val="00556600"/>
    <w:rsid w:val="00560A6C"/>
    <w:rsid w:val="00571B9C"/>
    <w:rsid w:val="00580937"/>
    <w:rsid w:val="00587AB1"/>
    <w:rsid w:val="00592B66"/>
    <w:rsid w:val="005A38B5"/>
    <w:rsid w:val="005A5ECE"/>
    <w:rsid w:val="005D1AB7"/>
    <w:rsid w:val="005D3C99"/>
    <w:rsid w:val="005D67A8"/>
    <w:rsid w:val="005E10C6"/>
    <w:rsid w:val="005E1AAA"/>
    <w:rsid w:val="005E49D7"/>
    <w:rsid w:val="005F1A97"/>
    <w:rsid w:val="005F4976"/>
    <w:rsid w:val="005F6F58"/>
    <w:rsid w:val="006178C4"/>
    <w:rsid w:val="00620A1C"/>
    <w:rsid w:val="00624662"/>
    <w:rsid w:val="00624776"/>
    <w:rsid w:val="006340D6"/>
    <w:rsid w:val="00634D0E"/>
    <w:rsid w:val="00635060"/>
    <w:rsid w:val="00637F02"/>
    <w:rsid w:val="00642313"/>
    <w:rsid w:val="00656A98"/>
    <w:rsid w:val="006761E3"/>
    <w:rsid w:val="00686C54"/>
    <w:rsid w:val="006A08DD"/>
    <w:rsid w:val="006A333C"/>
    <w:rsid w:val="006C6CDF"/>
    <w:rsid w:val="006C6F9C"/>
    <w:rsid w:val="006D5B28"/>
    <w:rsid w:val="006D7926"/>
    <w:rsid w:val="006E60AD"/>
    <w:rsid w:val="006E6B97"/>
    <w:rsid w:val="006E6EB8"/>
    <w:rsid w:val="006F444B"/>
    <w:rsid w:val="007076D7"/>
    <w:rsid w:val="00715093"/>
    <w:rsid w:val="0071647D"/>
    <w:rsid w:val="00720D6E"/>
    <w:rsid w:val="00720F09"/>
    <w:rsid w:val="00730685"/>
    <w:rsid w:val="007333CF"/>
    <w:rsid w:val="00733F8C"/>
    <w:rsid w:val="007341D6"/>
    <w:rsid w:val="0075097E"/>
    <w:rsid w:val="007542DD"/>
    <w:rsid w:val="00754A49"/>
    <w:rsid w:val="00765906"/>
    <w:rsid w:val="007700B6"/>
    <w:rsid w:val="007741FE"/>
    <w:rsid w:val="00780136"/>
    <w:rsid w:val="00782383"/>
    <w:rsid w:val="0078540D"/>
    <w:rsid w:val="00793670"/>
    <w:rsid w:val="00796EC5"/>
    <w:rsid w:val="007A7B0A"/>
    <w:rsid w:val="007B5027"/>
    <w:rsid w:val="007C1971"/>
    <w:rsid w:val="007D0AA2"/>
    <w:rsid w:val="007D16FE"/>
    <w:rsid w:val="007D5BDE"/>
    <w:rsid w:val="007D6E93"/>
    <w:rsid w:val="007E4E69"/>
    <w:rsid w:val="007E6DB9"/>
    <w:rsid w:val="007F24D6"/>
    <w:rsid w:val="007F6438"/>
    <w:rsid w:val="00801C9E"/>
    <w:rsid w:val="00811D12"/>
    <w:rsid w:val="00815CCA"/>
    <w:rsid w:val="0082149D"/>
    <w:rsid w:val="008269E7"/>
    <w:rsid w:val="008277A5"/>
    <w:rsid w:val="00830D91"/>
    <w:rsid w:val="00831DE2"/>
    <w:rsid w:val="008427DC"/>
    <w:rsid w:val="00844413"/>
    <w:rsid w:val="00845EA1"/>
    <w:rsid w:val="008460F2"/>
    <w:rsid w:val="00852C48"/>
    <w:rsid w:val="00853CBA"/>
    <w:rsid w:val="00857186"/>
    <w:rsid w:val="008724BF"/>
    <w:rsid w:val="0087318B"/>
    <w:rsid w:val="00874D5A"/>
    <w:rsid w:val="00890E79"/>
    <w:rsid w:val="0089319B"/>
    <w:rsid w:val="00896301"/>
    <w:rsid w:val="008A2D1F"/>
    <w:rsid w:val="008B4151"/>
    <w:rsid w:val="008C05F3"/>
    <w:rsid w:val="008D2C41"/>
    <w:rsid w:val="008E4186"/>
    <w:rsid w:val="008F1A18"/>
    <w:rsid w:val="008F1AF4"/>
    <w:rsid w:val="008F4308"/>
    <w:rsid w:val="008F75CC"/>
    <w:rsid w:val="009113B8"/>
    <w:rsid w:val="00912CF6"/>
    <w:rsid w:val="00920B1C"/>
    <w:rsid w:val="0092251F"/>
    <w:rsid w:val="00925125"/>
    <w:rsid w:val="00927B86"/>
    <w:rsid w:val="00937503"/>
    <w:rsid w:val="00942BC8"/>
    <w:rsid w:val="0095099E"/>
    <w:rsid w:val="00953995"/>
    <w:rsid w:val="00957E93"/>
    <w:rsid w:val="009609BD"/>
    <w:rsid w:val="00963BC9"/>
    <w:rsid w:val="0098054E"/>
    <w:rsid w:val="00985895"/>
    <w:rsid w:val="00985B23"/>
    <w:rsid w:val="00986D25"/>
    <w:rsid w:val="00991193"/>
    <w:rsid w:val="009917A3"/>
    <w:rsid w:val="00992C00"/>
    <w:rsid w:val="009966B3"/>
    <w:rsid w:val="009A2D06"/>
    <w:rsid w:val="009A527B"/>
    <w:rsid w:val="009B0487"/>
    <w:rsid w:val="009B11AC"/>
    <w:rsid w:val="009B1E27"/>
    <w:rsid w:val="009B4337"/>
    <w:rsid w:val="009C12DF"/>
    <w:rsid w:val="009C3292"/>
    <w:rsid w:val="009D1AE2"/>
    <w:rsid w:val="009E016D"/>
    <w:rsid w:val="009E4F46"/>
    <w:rsid w:val="009F1965"/>
    <w:rsid w:val="009F62D2"/>
    <w:rsid w:val="00A021AD"/>
    <w:rsid w:val="00A05214"/>
    <w:rsid w:val="00A10891"/>
    <w:rsid w:val="00A122B5"/>
    <w:rsid w:val="00A46F50"/>
    <w:rsid w:val="00A64208"/>
    <w:rsid w:val="00A71833"/>
    <w:rsid w:val="00A81347"/>
    <w:rsid w:val="00A91EFA"/>
    <w:rsid w:val="00A92AD7"/>
    <w:rsid w:val="00AA1F95"/>
    <w:rsid w:val="00AB5454"/>
    <w:rsid w:val="00AB7044"/>
    <w:rsid w:val="00AC0FAE"/>
    <w:rsid w:val="00AC4CEB"/>
    <w:rsid w:val="00AD2DFB"/>
    <w:rsid w:val="00AD57F9"/>
    <w:rsid w:val="00AE393F"/>
    <w:rsid w:val="00AF2480"/>
    <w:rsid w:val="00AF6DC8"/>
    <w:rsid w:val="00AF7EC7"/>
    <w:rsid w:val="00B05C41"/>
    <w:rsid w:val="00B05FF0"/>
    <w:rsid w:val="00B124B2"/>
    <w:rsid w:val="00B13C6F"/>
    <w:rsid w:val="00B14F35"/>
    <w:rsid w:val="00B20FD6"/>
    <w:rsid w:val="00B2342B"/>
    <w:rsid w:val="00B41972"/>
    <w:rsid w:val="00B42DD6"/>
    <w:rsid w:val="00B42E66"/>
    <w:rsid w:val="00B55AC1"/>
    <w:rsid w:val="00B605F1"/>
    <w:rsid w:val="00B633AC"/>
    <w:rsid w:val="00B713E9"/>
    <w:rsid w:val="00B76809"/>
    <w:rsid w:val="00B7757E"/>
    <w:rsid w:val="00B8127D"/>
    <w:rsid w:val="00B83F07"/>
    <w:rsid w:val="00B87D82"/>
    <w:rsid w:val="00B96634"/>
    <w:rsid w:val="00B97927"/>
    <w:rsid w:val="00BB09F6"/>
    <w:rsid w:val="00BB2A94"/>
    <w:rsid w:val="00BB35CB"/>
    <w:rsid w:val="00BB4EE9"/>
    <w:rsid w:val="00BC75EE"/>
    <w:rsid w:val="00BD2B9E"/>
    <w:rsid w:val="00BD6E07"/>
    <w:rsid w:val="00C01D18"/>
    <w:rsid w:val="00C12C15"/>
    <w:rsid w:val="00C202EF"/>
    <w:rsid w:val="00C258BB"/>
    <w:rsid w:val="00C4306D"/>
    <w:rsid w:val="00C4571F"/>
    <w:rsid w:val="00C61C0A"/>
    <w:rsid w:val="00C700A2"/>
    <w:rsid w:val="00C80459"/>
    <w:rsid w:val="00C81770"/>
    <w:rsid w:val="00C847A7"/>
    <w:rsid w:val="00C850B8"/>
    <w:rsid w:val="00C851EB"/>
    <w:rsid w:val="00C92D08"/>
    <w:rsid w:val="00CA1296"/>
    <w:rsid w:val="00CA775F"/>
    <w:rsid w:val="00CC5238"/>
    <w:rsid w:val="00CD776C"/>
    <w:rsid w:val="00CE4188"/>
    <w:rsid w:val="00CF2A1D"/>
    <w:rsid w:val="00CF5B0D"/>
    <w:rsid w:val="00CF607E"/>
    <w:rsid w:val="00D00EB3"/>
    <w:rsid w:val="00D11E01"/>
    <w:rsid w:val="00D25423"/>
    <w:rsid w:val="00D2760C"/>
    <w:rsid w:val="00D301A2"/>
    <w:rsid w:val="00D31E24"/>
    <w:rsid w:val="00D43180"/>
    <w:rsid w:val="00D47B08"/>
    <w:rsid w:val="00D64DB3"/>
    <w:rsid w:val="00D71709"/>
    <w:rsid w:val="00D719FE"/>
    <w:rsid w:val="00D71B89"/>
    <w:rsid w:val="00D75AD0"/>
    <w:rsid w:val="00D8238E"/>
    <w:rsid w:val="00D839C6"/>
    <w:rsid w:val="00D87269"/>
    <w:rsid w:val="00D91694"/>
    <w:rsid w:val="00DA007E"/>
    <w:rsid w:val="00DA6DB3"/>
    <w:rsid w:val="00DB7B8E"/>
    <w:rsid w:val="00DD1FE8"/>
    <w:rsid w:val="00DD290C"/>
    <w:rsid w:val="00DD767D"/>
    <w:rsid w:val="00DE5057"/>
    <w:rsid w:val="00DE7583"/>
    <w:rsid w:val="00DF31D1"/>
    <w:rsid w:val="00DF39C5"/>
    <w:rsid w:val="00E03B9A"/>
    <w:rsid w:val="00E07EF0"/>
    <w:rsid w:val="00E11733"/>
    <w:rsid w:val="00E30041"/>
    <w:rsid w:val="00E41694"/>
    <w:rsid w:val="00E4196D"/>
    <w:rsid w:val="00E424B3"/>
    <w:rsid w:val="00E44BA4"/>
    <w:rsid w:val="00E45075"/>
    <w:rsid w:val="00E4555E"/>
    <w:rsid w:val="00E473AA"/>
    <w:rsid w:val="00E515EB"/>
    <w:rsid w:val="00E57F73"/>
    <w:rsid w:val="00E81ADE"/>
    <w:rsid w:val="00E820FB"/>
    <w:rsid w:val="00E91912"/>
    <w:rsid w:val="00E93362"/>
    <w:rsid w:val="00E93F21"/>
    <w:rsid w:val="00EB0E3E"/>
    <w:rsid w:val="00EB113D"/>
    <w:rsid w:val="00EB3CAF"/>
    <w:rsid w:val="00EB527B"/>
    <w:rsid w:val="00EB5AE4"/>
    <w:rsid w:val="00EC419A"/>
    <w:rsid w:val="00EE4C28"/>
    <w:rsid w:val="00EE6E36"/>
    <w:rsid w:val="00EF086E"/>
    <w:rsid w:val="00EF3696"/>
    <w:rsid w:val="00EF462E"/>
    <w:rsid w:val="00EF61B8"/>
    <w:rsid w:val="00F017DC"/>
    <w:rsid w:val="00F0523D"/>
    <w:rsid w:val="00F061E4"/>
    <w:rsid w:val="00F16326"/>
    <w:rsid w:val="00F23D76"/>
    <w:rsid w:val="00F241B9"/>
    <w:rsid w:val="00F27A58"/>
    <w:rsid w:val="00F302F3"/>
    <w:rsid w:val="00F412DE"/>
    <w:rsid w:val="00F42C76"/>
    <w:rsid w:val="00F44D31"/>
    <w:rsid w:val="00F45C66"/>
    <w:rsid w:val="00F575CE"/>
    <w:rsid w:val="00F57851"/>
    <w:rsid w:val="00F613ED"/>
    <w:rsid w:val="00F64FF9"/>
    <w:rsid w:val="00F65BD1"/>
    <w:rsid w:val="00F73931"/>
    <w:rsid w:val="00F86FCF"/>
    <w:rsid w:val="00F87EFE"/>
    <w:rsid w:val="00F92875"/>
    <w:rsid w:val="00FA1575"/>
    <w:rsid w:val="00FA3AE3"/>
    <w:rsid w:val="00FA3D80"/>
    <w:rsid w:val="00FB052E"/>
    <w:rsid w:val="00FC2F79"/>
    <w:rsid w:val="00FD1591"/>
    <w:rsid w:val="00FE47AC"/>
    <w:rsid w:val="00FE5741"/>
    <w:rsid w:val="00FF0D6D"/>
    <w:rsid w:val="00FF7830"/>
    <w:rsid w:val="015F4D8D"/>
    <w:rsid w:val="018F6671"/>
    <w:rsid w:val="01955A44"/>
    <w:rsid w:val="01994231"/>
    <w:rsid w:val="01A6374F"/>
    <w:rsid w:val="01C73929"/>
    <w:rsid w:val="01C810A2"/>
    <w:rsid w:val="01DE2D42"/>
    <w:rsid w:val="02105923"/>
    <w:rsid w:val="023215D6"/>
    <w:rsid w:val="02726F85"/>
    <w:rsid w:val="027A49A6"/>
    <w:rsid w:val="027D4C8E"/>
    <w:rsid w:val="028D1975"/>
    <w:rsid w:val="02974C1F"/>
    <w:rsid w:val="02A670A6"/>
    <w:rsid w:val="02BF6BE2"/>
    <w:rsid w:val="02CC5207"/>
    <w:rsid w:val="02CD3109"/>
    <w:rsid w:val="032D5B14"/>
    <w:rsid w:val="03360B0F"/>
    <w:rsid w:val="034D3965"/>
    <w:rsid w:val="03987A6B"/>
    <w:rsid w:val="03CE55C9"/>
    <w:rsid w:val="03CF48D8"/>
    <w:rsid w:val="03D46AEA"/>
    <w:rsid w:val="03E32015"/>
    <w:rsid w:val="03F57C63"/>
    <w:rsid w:val="04016C13"/>
    <w:rsid w:val="041B7BDF"/>
    <w:rsid w:val="043E7318"/>
    <w:rsid w:val="0459786E"/>
    <w:rsid w:val="047D00F3"/>
    <w:rsid w:val="04936F33"/>
    <w:rsid w:val="049A6044"/>
    <w:rsid w:val="04AD1D61"/>
    <w:rsid w:val="04C82614"/>
    <w:rsid w:val="04C9080A"/>
    <w:rsid w:val="04D65387"/>
    <w:rsid w:val="051426ED"/>
    <w:rsid w:val="05393426"/>
    <w:rsid w:val="05486C77"/>
    <w:rsid w:val="05677E97"/>
    <w:rsid w:val="05686AD9"/>
    <w:rsid w:val="0570468E"/>
    <w:rsid w:val="059A153B"/>
    <w:rsid w:val="059D17EC"/>
    <w:rsid w:val="05A3156C"/>
    <w:rsid w:val="05BA5A31"/>
    <w:rsid w:val="05DF650F"/>
    <w:rsid w:val="06082240"/>
    <w:rsid w:val="06103F8F"/>
    <w:rsid w:val="063543C3"/>
    <w:rsid w:val="0676521F"/>
    <w:rsid w:val="06770012"/>
    <w:rsid w:val="068776BB"/>
    <w:rsid w:val="06CC01FA"/>
    <w:rsid w:val="06D450C5"/>
    <w:rsid w:val="06E10371"/>
    <w:rsid w:val="06E7371A"/>
    <w:rsid w:val="06EA606C"/>
    <w:rsid w:val="06F86525"/>
    <w:rsid w:val="070563E5"/>
    <w:rsid w:val="07790061"/>
    <w:rsid w:val="079F5C1E"/>
    <w:rsid w:val="07A126A4"/>
    <w:rsid w:val="07A72394"/>
    <w:rsid w:val="07B74C6C"/>
    <w:rsid w:val="07B96608"/>
    <w:rsid w:val="07BF3DA4"/>
    <w:rsid w:val="07E81169"/>
    <w:rsid w:val="07EE6C8E"/>
    <w:rsid w:val="0853062D"/>
    <w:rsid w:val="085B17EB"/>
    <w:rsid w:val="087059EF"/>
    <w:rsid w:val="0894205B"/>
    <w:rsid w:val="08B55CFA"/>
    <w:rsid w:val="08B728E8"/>
    <w:rsid w:val="08BF17F4"/>
    <w:rsid w:val="08EF0211"/>
    <w:rsid w:val="09035F57"/>
    <w:rsid w:val="09113196"/>
    <w:rsid w:val="09147B4E"/>
    <w:rsid w:val="091D3277"/>
    <w:rsid w:val="094C17C6"/>
    <w:rsid w:val="09914B2C"/>
    <w:rsid w:val="09D9468B"/>
    <w:rsid w:val="09DB6734"/>
    <w:rsid w:val="0A004255"/>
    <w:rsid w:val="0A126BDB"/>
    <w:rsid w:val="0A33099A"/>
    <w:rsid w:val="0A693741"/>
    <w:rsid w:val="0AAE20E8"/>
    <w:rsid w:val="0B0616F6"/>
    <w:rsid w:val="0B190A62"/>
    <w:rsid w:val="0B5B660B"/>
    <w:rsid w:val="0B671DDF"/>
    <w:rsid w:val="0BC92090"/>
    <w:rsid w:val="0BD26A6B"/>
    <w:rsid w:val="0BD940CE"/>
    <w:rsid w:val="0BE365CE"/>
    <w:rsid w:val="0C2E4E77"/>
    <w:rsid w:val="0C3031B8"/>
    <w:rsid w:val="0C5F4DDF"/>
    <w:rsid w:val="0C7F5C54"/>
    <w:rsid w:val="0C965DF3"/>
    <w:rsid w:val="0C9C3933"/>
    <w:rsid w:val="0CA16354"/>
    <w:rsid w:val="0CBD67B4"/>
    <w:rsid w:val="0CFB774B"/>
    <w:rsid w:val="0D0059CC"/>
    <w:rsid w:val="0D022CD7"/>
    <w:rsid w:val="0D0A02DC"/>
    <w:rsid w:val="0D0A2409"/>
    <w:rsid w:val="0D1809B9"/>
    <w:rsid w:val="0D3E25F5"/>
    <w:rsid w:val="0D510FAE"/>
    <w:rsid w:val="0D525F2E"/>
    <w:rsid w:val="0D8E1F8D"/>
    <w:rsid w:val="0D8F5113"/>
    <w:rsid w:val="0E065EBA"/>
    <w:rsid w:val="0E13246D"/>
    <w:rsid w:val="0E48203A"/>
    <w:rsid w:val="0E7D4D4B"/>
    <w:rsid w:val="0ECB7868"/>
    <w:rsid w:val="0F15083C"/>
    <w:rsid w:val="0F4F3718"/>
    <w:rsid w:val="0F5B72EC"/>
    <w:rsid w:val="0F771DB9"/>
    <w:rsid w:val="0F7F7E58"/>
    <w:rsid w:val="0F8067DF"/>
    <w:rsid w:val="0F8B6F32"/>
    <w:rsid w:val="0F900635"/>
    <w:rsid w:val="0FAA2E05"/>
    <w:rsid w:val="0FBE1985"/>
    <w:rsid w:val="0FD57769"/>
    <w:rsid w:val="0FDC43C3"/>
    <w:rsid w:val="0FE960D8"/>
    <w:rsid w:val="100507B4"/>
    <w:rsid w:val="102C6420"/>
    <w:rsid w:val="103A0EA2"/>
    <w:rsid w:val="10472E88"/>
    <w:rsid w:val="10483B32"/>
    <w:rsid w:val="105809D3"/>
    <w:rsid w:val="1058413B"/>
    <w:rsid w:val="105B7D23"/>
    <w:rsid w:val="109F3F24"/>
    <w:rsid w:val="10DF5AD4"/>
    <w:rsid w:val="10F808F5"/>
    <w:rsid w:val="111817A9"/>
    <w:rsid w:val="112712C8"/>
    <w:rsid w:val="11360F2C"/>
    <w:rsid w:val="113F5ACD"/>
    <w:rsid w:val="119B0ED5"/>
    <w:rsid w:val="11A06E8F"/>
    <w:rsid w:val="11B636F9"/>
    <w:rsid w:val="11CF38D5"/>
    <w:rsid w:val="11DA4A9E"/>
    <w:rsid w:val="11E35F90"/>
    <w:rsid w:val="11F2092D"/>
    <w:rsid w:val="12225CF5"/>
    <w:rsid w:val="124C749F"/>
    <w:rsid w:val="127E6566"/>
    <w:rsid w:val="12B16C1F"/>
    <w:rsid w:val="132A115A"/>
    <w:rsid w:val="13386DC8"/>
    <w:rsid w:val="139E3A65"/>
    <w:rsid w:val="13BD7206"/>
    <w:rsid w:val="13CF13DC"/>
    <w:rsid w:val="13EE68AC"/>
    <w:rsid w:val="13F44EDB"/>
    <w:rsid w:val="140337D3"/>
    <w:rsid w:val="14223A52"/>
    <w:rsid w:val="14297C51"/>
    <w:rsid w:val="14302A75"/>
    <w:rsid w:val="144A3967"/>
    <w:rsid w:val="1476460D"/>
    <w:rsid w:val="14856D0E"/>
    <w:rsid w:val="14881C5F"/>
    <w:rsid w:val="14A46C05"/>
    <w:rsid w:val="14A82A93"/>
    <w:rsid w:val="14AB54E6"/>
    <w:rsid w:val="14B05890"/>
    <w:rsid w:val="14B976C0"/>
    <w:rsid w:val="14DB7F15"/>
    <w:rsid w:val="14DE2857"/>
    <w:rsid w:val="15354A49"/>
    <w:rsid w:val="15457CDE"/>
    <w:rsid w:val="15B22849"/>
    <w:rsid w:val="15B97F99"/>
    <w:rsid w:val="15C247AB"/>
    <w:rsid w:val="15C52ADD"/>
    <w:rsid w:val="15D102C2"/>
    <w:rsid w:val="1621390D"/>
    <w:rsid w:val="169A7EE3"/>
    <w:rsid w:val="16A54482"/>
    <w:rsid w:val="16AF7B30"/>
    <w:rsid w:val="16CD1326"/>
    <w:rsid w:val="16EE2482"/>
    <w:rsid w:val="16F73D7C"/>
    <w:rsid w:val="16FD72AF"/>
    <w:rsid w:val="17244CC9"/>
    <w:rsid w:val="172B501B"/>
    <w:rsid w:val="174D078D"/>
    <w:rsid w:val="177E7E54"/>
    <w:rsid w:val="17956EA4"/>
    <w:rsid w:val="179E5741"/>
    <w:rsid w:val="17A639F7"/>
    <w:rsid w:val="17A73328"/>
    <w:rsid w:val="17AE02A7"/>
    <w:rsid w:val="17C23CC3"/>
    <w:rsid w:val="17E12113"/>
    <w:rsid w:val="17EA15A1"/>
    <w:rsid w:val="17EC353F"/>
    <w:rsid w:val="180B6528"/>
    <w:rsid w:val="181947F2"/>
    <w:rsid w:val="181E6380"/>
    <w:rsid w:val="182A3DAA"/>
    <w:rsid w:val="18370609"/>
    <w:rsid w:val="185E2C6F"/>
    <w:rsid w:val="18714FFB"/>
    <w:rsid w:val="18C92724"/>
    <w:rsid w:val="18D76683"/>
    <w:rsid w:val="18EA6FAC"/>
    <w:rsid w:val="18F07CD0"/>
    <w:rsid w:val="19107757"/>
    <w:rsid w:val="191870E7"/>
    <w:rsid w:val="192B788D"/>
    <w:rsid w:val="194E12BF"/>
    <w:rsid w:val="197F7D41"/>
    <w:rsid w:val="1989636A"/>
    <w:rsid w:val="19981CA2"/>
    <w:rsid w:val="19A66BF6"/>
    <w:rsid w:val="19C22241"/>
    <w:rsid w:val="19E41DC3"/>
    <w:rsid w:val="19F83813"/>
    <w:rsid w:val="19FA75B2"/>
    <w:rsid w:val="1A380CFC"/>
    <w:rsid w:val="1A540D2B"/>
    <w:rsid w:val="1A9F3A25"/>
    <w:rsid w:val="1B014256"/>
    <w:rsid w:val="1B016FAC"/>
    <w:rsid w:val="1B0839D0"/>
    <w:rsid w:val="1B1453AB"/>
    <w:rsid w:val="1B150DCF"/>
    <w:rsid w:val="1B403337"/>
    <w:rsid w:val="1B505332"/>
    <w:rsid w:val="1B984105"/>
    <w:rsid w:val="1B986433"/>
    <w:rsid w:val="1BA87FB3"/>
    <w:rsid w:val="1BB31A3E"/>
    <w:rsid w:val="1BD26C4B"/>
    <w:rsid w:val="1BFB7303"/>
    <w:rsid w:val="1C117CE9"/>
    <w:rsid w:val="1C5E009C"/>
    <w:rsid w:val="1C661B14"/>
    <w:rsid w:val="1C66598F"/>
    <w:rsid w:val="1C674EA6"/>
    <w:rsid w:val="1C7529F8"/>
    <w:rsid w:val="1CAC42AC"/>
    <w:rsid w:val="1CBA5E52"/>
    <w:rsid w:val="1D0375B4"/>
    <w:rsid w:val="1D0A1C9E"/>
    <w:rsid w:val="1D267CF5"/>
    <w:rsid w:val="1D35328A"/>
    <w:rsid w:val="1D3F51E3"/>
    <w:rsid w:val="1D631246"/>
    <w:rsid w:val="1D655FE8"/>
    <w:rsid w:val="1D7648CA"/>
    <w:rsid w:val="1D9455F8"/>
    <w:rsid w:val="1DA3548F"/>
    <w:rsid w:val="1DC84503"/>
    <w:rsid w:val="1DED7BBC"/>
    <w:rsid w:val="1DF6484E"/>
    <w:rsid w:val="1E30536C"/>
    <w:rsid w:val="1E364133"/>
    <w:rsid w:val="1E3C3E13"/>
    <w:rsid w:val="1E47076F"/>
    <w:rsid w:val="1E576BC4"/>
    <w:rsid w:val="1E9D37C5"/>
    <w:rsid w:val="1EFB0E81"/>
    <w:rsid w:val="1F01079F"/>
    <w:rsid w:val="1F0301B2"/>
    <w:rsid w:val="1F085A88"/>
    <w:rsid w:val="1F0B4886"/>
    <w:rsid w:val="1F25727D"/>
    <w:rsid w:val="1F317142"/>
    <w:rsid w:val="1F875BB3"/>
    <w:rsid w:val="1F8C3A63"/>
    <w:rsid w:val="1F922B96"/>
    <w:rsid w:val="1F943A6F"/>
    <w:rsid w:val="1FA94AEA"/>
    <w:rsid w:val="1FC21B14"/>
    <w:rsid w:val="1FC64201"/>
    <w:rsid w:val="1FD12697"/>
    <w:rsid w:val="1FEE00F5"/>
    <w:rsid w:val="201054E6"/>
    <w:rsid w:val="20222F75"/>
    <w:rsid w:val="203E6525"/>
    <w:rsid w:val="204132D9"/>
    <w:rsid w:val="204B1B08"/>
    <w:rsid w:val="208825EC"/>
    <w:rsid w:val="209762AB"/>
    <w:rsid w:val="209E50FA"/>
    <w:rsid w:val="20C1455E"/>
    <w:rsid w:val="20DD5693"/>
    <w:rsid w:val="20E65A68"/>
    <w:rsid w:val="21D6320C"/>
    <w:rsid w:val="21D82C60"/>
    <w:rsid w:val="21F02852"/>
    <w:rsid w:val="21FE7A43"/>
    <w:rsid w:val="22145506"/>
    <w:rsid w:val="22281C5B"/>
    <w:rsid w:val="222C5170"/>
    <w:rsid w:val="22425469"/>
    <w:rsid w:val="2250284D"/>
    <w:rsid w:val="229706F3"/>
    <w:rsid w:val="22B034DD"/>
    <w:rsid w:val="2321332D"/>
    <w:rsid w:val="2342044E"/>
    <w:rsid w:val="2355431F"/>
    <w:rsid w:val="23700ADE"/>
    <w:rsid w:val="237779E0"/>
    <w:rsid w:val="239056B1"/>
    <w:rsid w:val="23F7658E"/>
    <w:rsid w:val="24461032"/>
    <w:rsid w:val="24511942"/>
    <w:rsid w:val="245C46C6"/>
    <w:rsid w:val="246C1E0E"/>
    <w:rsid w:val="2485456A"/>
    <w:rsid w:val="24867C5A"/>
    <w:rsid w:val="24C22C18"/>
    <w:rsid w:val="24D266BF"/>
    <w:rsid w:val="25014E2F"/>
    <w:rsid w:val="25186050"/>
    <w:rsid w:val="252729E9"/>
    <w:rsid w:val="252C7DE5"/>
    <w:rsid w:val="254027CF"/>
    <w:rsid w:val="256D50DE"/>
    <w:rsid w:val="25A85A0B"/>
    <w:rsid w:val="25C00542"/>
    <w:rsid w:val="25C05E49"/>
    <w:rsid w:val="25C3246A"/>
    <w:rsid w:val="25FC2798"/>
    <w:rsid w:val="25FD1C08"/>
    <w:rsid w:val="261A3198"/>
    <w:rsid w:val="26273E4D"/>
    <w:rsid w:val="266E58E0"/>
    <w:rsid w:val="269938EB"/>
    <w:rsid w:val="26AC59B4"/>
    <w:rsid w:val="26B223D1"/>
    <w:rsid w:val="26C62957"/>
    <w:rsid w:val="26FF675A"/>
    <w:rsid w:val="2713666A"/>
    <w:rsid w:val="271F07E8"/>
    <w:rsid w:val="276617C9"/>
    <w:rsid w:val="28186A04"/>
    <w:rsid w:val="2843337E"/>
    <w:rsid w:val="28495621"/>
    <w:rsid w:val="286D34FE"/>
    <w:rsid w:val="286F065A"/>
    <w:rsid w:val="287D4A82"/>
    <w:rsid w:val="28852A06"/>
    <w:rsid w:val="2899617C"/>
    <w:rsid w:val="28A00BC7"/>
    <w:rsid w:val="28AB5B7D"/>
    <w:rsid w:val="28BC294F"/>
    <w:rsid w:val="28D955F5"/>
    <w:rsid w:val="29056AA5"/>
    <w:rsid w:val="293F3431"/>
    <w:rsid w:val="29526331"/>
    <w:rsid w:val="298F2746"/>
    <w:rsid w:val="29A72F86"/>
    <w:rsid w:val="29D9065C"/>
    <w:rsid w:val="29DA7FD8"/>
    <w:rsid w:val="29E05B00"/>
    <w:rsid w:val="2A4D4C7D"/>
    <w:rsid w:val="2A571E73"/>
    <w:rsid w:val="2A6E4776"/>
    <w:rsid w:val="2A735B12"/>
    <w:rsid w:val="2AA348A7"/>
    <w:rsid w:val="2AA47742"/>
    <w:rsid w:val="2AEB5466"/>
    <w:rsid w:val="2AEF7870"/>
    <w:rsid w:val="2AFF1B93"/>
    <w:rsid w:val="2B2A6E9F"/>
    <w:rsid w:val="2B6C5522"/>
    <w:rsid w:val="2B987FA5"/>
    <w:rsid w:val="2BD16893"/>
    <w:rsid w:val="2BFE3020"/>
    <w:rsid w:val="2C02772E"/>
    <w:rsid w:val="2C4F6390"/>
    <w:rsid w:val="2C5D4D76"/>
    <w:rsid w:val="2C7D7627"/>
    <w:rsid w:val="2CB8557A"/>
    <w:rsid w:val="2CD32242"/>
    <w:rsid w:val="2CE30968"/>
    <w:rsid w:val="2CF61D7F"/>
    <w:rsid w:val="2D037DE7"/>
    <w:rsid w:val="2D447C22"/>
    <w:rsid w:val="2D9B6420"/>
    <w:rsid w:val="2DF33A3E"/>
    <w:rsid w:val="2DF551A7"/>
    <w:rsid w:val="2DFB0034"/>
    <w:rsid w:val="2E113873"/>
    <w:rsid w:val="2E2108C5"/>
    <w:rsid w:val="2E3759AD"/>
    <w:rsid w:val="2E4B756C"/>
    <w:rsid w:val="2E67356B"/>
    <w:rsid w:val="2E6E3F25"/>
    <w:rsid w:val="2ECA052D"/>
    <w:rsid w:val="2F034371"/>
    <w:rsid w:val="2F4857D4"/>
    <w:rsid w:val="2F562537"/>
    <w:rsid w:val="2F586514"/>
    <w:rsid w:val="2F970EA3"/>
    <w:rsid w:val="2FE6120E"/>
    <w:rsid w:val="300C6CC7"/>
    <w:rsid w:val="303D6924"/>
    <w:rsid w:val="30666350"/>
    <w:rsid w:val="306B0BF8"/>
    <w:rsid w:val="30840C45"/>
    <w:rsid w:val="30DD3CC0"/>
    <w:rsid w:val="30E363FB"/>
    <w:rsid w:val="30F005B3"/>
    <w:rsid w:val="30F93AC4"/>
    <w:rsid w:val="31271ABE"/>
    <w:rsid w:val="313A2876"/>
    <w:rsid w:val="31961430"/>
    <w:rsid w:val="319C1A66"/>
    <w:rsid w:val="31DF50CE"/>
    <w:rsid w:val="31FB60E7"/>
    <w:rsid w:val="320C162B"/>
    <w:rsid w:val="320F7000"/>
    <w:rsid w:val="32277B6A"/>
    <w:rsid w:val="3234769F"/>
    <w:rsid w:val="32482EFB"/>
    <w:rsid w:val="32B3317E"/>
    <w:rsid w:val="32BF0053"/>
    <w:rsid w:val="32CC4B88"/>
    <w:rsid w:val="32E335DD"/>
    <w:rsid w:val="32F351FA"/>
    <w:rsid w:val="32FC30F8"/>
    <w:rsid w:val="3325758A"/>
    <w:rsid w:val="333658DC"/>
    <w:rsid w:val="337C153C"/>
    <w:rsid w:val="33AA3818"/>
    <w:rsid w:val="33C27D4B"/>
    <w:rsid w:val="34001711"/>
    <w:rsid w:val="342002A7"/>
    <w:rsid w:val="34284AA7"/>
    <w:rsid w:val="34973EBC"/>
    <w:rsid w:val="34C011DC"/>
    <w:rsid w:val="34C01687"/>
    <w:rsid w:val="34CE421C"/>
    <w:rsid w:val="34D64398"/>
    <w:rsid w:val="34D70015"/>
    <w:rsid w:val="35016E4D"/>
    <w:rsid w:val="358E3ED1"/>
    <w:rsid w:val="35CE5C5A"/>
    <w:rsid w:val="35CF7334"/>
    <w:rsid w:val="35D47121"/>
    <w:rsid w:val="35F94797"/>
    <w:rsid w:val="36197D98"/>
    <w:rsid w:val="36224B36"/>
    <w:rsid w:val="36482E1F"/>
    <w:rsid w:val="36653C14"/>
    <w:rsid w:val="36916822"/>
    <w:rsid w:val="36962570"/>
    <w:rsid w:val="36B507E7"/>
    <w:rsid w:val="36B6386A"/>
    <w:rsid w:val="36C501AF"/>
    <w:rsid w:val="3714543E"/>
    <w:rsid w:val="371E3F36"/>
    <w:rsid w:val="373A4A51"/>
    <w:rsid w:val="3764602C"/>
    <w:rsid w:val="376D7D8B"/>
    <w:rsid w:val="378F6A3D"/>
    <w:rsid w:val="37911DB8"/>
    <w:rsid w:val="37BA48F7"/>
    <w:rsid w:val="37BE06C9"/>
    <w:rsid w:val="37D04448"/>
    <w:rsid w:val="37E20AA1"/>
    <w:rsid w:val="38131BF5"/>
    <w:rsid w:val="38425893"/>
    <w:rsid w:val="38557D9E"/>
    <w:rsid w:val="385E1531"/>
    <w:rsid w:val="387D49D0"/>
    <w:rsid w:val="38961627"/>
    <w:rsid w:val="38D94D8C"/>
    <w:rsid w:val="38E333E3"/>
    <w:rsid w:val="38FC0819"/>
    <w:rsid w:val="39037BE6"/>
    <w:rsid w:val="390809AF"/>
    <w:rsid w:val="390B7EF9"/>
    <w:rsid w:val="39224AC7"/>
    <w:rsid w:val="392A0F7B"/>
    <w:rsid w:val="392D2724"/>
    <w:rsid w:val="3951654A"/>
    <w:rsid w:val="39867B68"/>
    <w:rsid w:val="39867DA4"/>
    <w:rsid w:val="39DC72ED"/>
    <w:rsid w:val="39DD114E"/>
    <w:rsid w:val="3A147F0D"/>
    <w:rsid w:val="3A1B5CF7"/>
    <w:rsid w:val="3A1D17DB"/>
    <w:rsid w:val="3A2A21FF"/>
    <w:rsid w:val="3A5D2677"/>
    <w:rsid w:val="3ABE186E"/>
    <w:rsid w:val="3AC021E8"/>
    <w:rsid w:val="3AEC5F7C"/>
    <w:rsid w:val="3B1E4774"/>
    <w:rsid w:val="3B3F4B9A"/>
    <w:rsid w:val="3B69553D"/>
    <w:rsid w:val="3B867487"/>
    <w:rsid w:val="3BB9569F"/>
    <w:rsid w:val="3BC32190"/>
    <w:rsid w:val="3C165E50"/>
    <w:rsid w:val="3C1C66FA"/>
    <w:rsid w:val="3C297BCB"/>
    <w:rsid w:val="3C383A74"/>
    <w:rsid w:val="3C4F6B80"/>
    <w:rsid w:val="3C58546F"/>
    <w:rsid w:val="3C6B0DB4"/>
    <w:rsid w:val="3C773C69"/>
    <w:rsid w:val="3C9518D7"/>
    <w:rsid w:val="3CCC677C"/>
    <w:rsid w:val="3CCE2AA3"/>
    <w:rsid w:val="3CD96FE8"/>
    <w:rsid w:val="3D227E2F"/>
    <w:rsid w:val="3D531AC8"/>
    <w:rsid w:val="3DAF5ABB"/>
    <w:rsid w:val="3DB16228"/>
    <w:rsid w:val="3DBF5144"/>
    <w:rsid w:val="3DC6239D"/>
    <w:rsid w:val="3DC973D4"/>
    <w:rsid w:val="3E0478DF"/>
    <w:rsid w:val="3E164B6B"/>
    <w:rsid w:val="3E2B6B4D"/>
    <w:rsid w:val="3E2C003B"/>
    <w:rsid w:val="3E4D3B05"/>
    <w:rsid w:val="3E6C2C3A"/>
    <w:rsid w:val="3E7B0306"/>
    <w:rsid w:val="3E864BA0"/>
    <w:rsid w:val="3E8F15E6"/>
    <w:rsid w:val="3E9F76A0"/>
    <w:rsid w:val="3EAD1011"/>
    <w:rsid w:val="3EBC7C36"/>
    <w:rsid w:val="3EBE3F38"/>
    <w:rsid w:val="3EC760D9"/>
    <w:rsid w:val="3F014B05"/>
    <w:rsid w:val="3F0244B7"/>
    <w:rsid w:val="3F0C7BCC"/>
    <w:rsid w:val="3F123F2D"/>
    <w:rsid w:val="3F4D2880"/>
    <w:rsid w:val="3F5F56C7"/>
    <w:rsid w:val="3F7C48BF"/>
    <w:rsid w:val="3FB333B1"/>
    <w:rsid w:val="3FB47E88"/>
    <w:rsid w:val="3FBA6CC0"/>
    <w:rsid w:val="3FDF0C2D"/>
    <w:rsid w:val="3FF611DB"/>
    <w:rsid w:val="3FFE14D4"/>
    <w:rsid w:val="40107A30"/>
    <w:rsid w:val="401A33CE"/>
    <w:rsid w:val="405E67A4"/>
    <w:rsid w:val="408F7204"/>
    <w:rsid w:val="40951FD6"/>
    <w:rsid w:val="40B2181D"/>
    <w:rsid w:val="40BE74AE"/>
    <w:rsid w:val="40C90255"/>
    <w:rsid w:val="40CB0EFE"/>
    <w:rsid w:val="41144F10"/>
    <w:rsid w:val="41323EE0"/>
    <w:rsid w:val="41363AA4"/>
    <w:rsid w:val="41460CCC"/>
    <w:rsid w:val="41494721"/>
    <w:rsid w:val="41586A90"/>
    <w:rsid w:val="4171200F"/>
    <w:rsid w:val="41871259"/>
    <w:rsid w:val="41A6661C"/>
    <w:rsid w:val="41D262D5"/>
    <w:rsid w:val="41DC68C0"/>
    <w:rsid w:val="41E1742C"/>
    <w:rsid w:val="421251F1"/>
    <w:rsid w:val="42307C18"/>
    <w:rsid w:val="424B55AC"/>
    <w:rsid w:val="424B650C"/>
    <w:rsid w:val="425300CD"/>
    <w:rsid w:val="42540A82"/>
    <w:rsid w:val="42782D1E"/>
    <w:rsid w:val="427E259D"/>
    <w:rsid w:val="428F36EF"/>
    <w:rsid w:val="42F82F9F"/>
    <w:rsid w:val="43155E07"/>
    <w:rsid w:val="434D4898"/>
    <w:rsid w:val="439B0329"/>
    <w:rsid w:val="439B224B"/>
    <w:rsid w:val="43AB7E82"/>
    <w:rsid w:val="43C10C6F"/>
    <w:rsid w:val="43C63DAB"/>
    <w:rsid w:val="43E80EF1"/>
    <w:rsid w:val="4447325F"/>
    <w:rsid w:val="44773E98"/>
    <w:rsid w:val="448A7063"/>
    <w:rsid w:val="44901D19"/>
    <w:rsid w:val="44B83A48"/>
    <w:rsid w:val="44BC7870"/>
    <w:rsid w:val="44C65CA5"/>
    <w:rsid w:val="44CD639B"/>
    <w:rsid w:val="44E37FD9"/>
    <w:rsid w:val="454C2B88"/>
    <w:rsid w:val="458E256E"/>
    <w:rsid w:val="459575BC"/>
    <w:rsid w:val="45A3753F"/>
    <w:rsid w:val="45AD4509"/>
    <w:rsid w:val="45DB64FA"/>
    <w:rsid w:val="45E45E88"/>
    <w:rsid w:val="46050F00"/>
    <w:rsid w:val="464F33C0"/>
    <w:rsid w:val="469711EA"/>
    <w:rsid w:val="46D969E2"/>
    <w:rsid w:val="46DD0F2B"/>
    <w:rsid w:val="46E50F3B"/>
    <w:rsid w:val="46F00B3D"/>
    <w:rsid w:val="4768402D"/>
    <w:rsid w:val="47922E2B"/>
    <w:rsid w:val="479F00DD"/>
    <w:rsid w:val="47B446B5"/>
    <w:rsid w:val="47DA4DE2"/>
    <w:rsid w:val="47E74C46"/>
    <w:rsid w:val="47FD18FD"/>
    <w:rsid w:val="481B787F"/>
    <w:rsid w:val="484064B6"/>
    <w:rsid w:val="4871070B"/>
    <w:rsid w:val="48956B52"/>
    <w:rsid w:val="48992DD2"/>
    <w:rsid w:val="489B7DA2"/>
    <w:rsid w:val="48C45122"/>
    <w:rsid w:val="494558AB"/>
    <w:rsid w:val="49957523"/>
    <w:rsid w:val="49D3106F"/>
    <w:rsid w:val="4A0C280C"/>
    <w:rsid w:val="4A213665"/>
    <w:rsid w:val="4A8B67C7"/>
    <w:rsid w:val="4B140430"/>
    <w:rsid w:val="4B241621"/>
    <w:rsid w:val="4B374338"/>
    <w:rsid w:val="4B3950D0"/>
    <w:rsid w:val="4B43600C"/>
    <w:rsid w:val="4B751C72"/>
    <w:rsid w:val="4B932E82"/>
    <w:rsid w:val="4B9653B7"/>
    <w:rsid w:val="4BA63AAD"/>
    <w:rsid w:val="4BBC0006"/>
    <w:rsid w:val="4BC1129C"/>
    <w:rsid w:val="4BF82EEB"/>
    <w:rsid w:val="4BFF2BF5"/>
    <w:rsid w:val="4C065EC7"/>
    <w:rsid w:val="4C35011D"/>
    <w:rsid w:val="4C426E1E"/>
    <w:rsid w:val="4CD34C95"/>
    <w:rsid w:val="4D0553B0"/>
    <w:rsid w:val="4D0C6FE4"/>
    <w:rsid w:val="4D30175B"/>
    <w:rsid w:val="4D4B51E8"/>
    <w:rsid w:val="4D5814E8"/>
    <w:rsid w:val="4D587DD0"/>
    <w:rsid w:val="4D8371A1"/>
    <w:rsid w:val="4D844143"/>
    <w:rsid w:val="4DB2217A"/>
    <w:rsid w:val="4DC30053"/>
    <w:rsid w:val="4DD17734"/>
    <w:rsid w:val="4EE04363"/>
    <w:rsid w:val="4EE22627"/>
    <w:rsid w:val="4EE7700A"/>
    <w:rsid w:val="4EFC144D"/>
    <w:rsid w:val="4F0D1E47"/>
    <w:rsid w:val="4F2B2170"/>
    <w:rsid w:val="4F460CBD"/>
    <w:rsid w:val="4F5B2F3D"/>
    <w:rsid w:val="4F736625"/>
    <w:rsid w:val="4FDC53A5"/>
    <w:rsid w:val="500B67BA"/>
    <w:rsid w:val="501E55B7"/>
    <w:rsid w:val="502C3AF9"/>
    <w:rsid w:val="5040522D"/>
    <w:rsid w:val="505620E1"/>
    <w:rsid w:val="505F6523"/>
    <w:rsid w:val="508347A7"/>
    <w:rsid w:val="508D712A"/>
    <w:rsid w:val="50C1164D"/>
    <w:rsid w:val="50DF2886"/>
    <w:rsid w:val="50FD570B"/>
    <w:rsid w:val="511708DD"/>
    <w:rsid w:val="511A6794"/>
    <w:rsid w:val="51202804"/>
    <w:rsid w:val="512D4C3D"/>
    <w:rsid w:val="514A5A71"/>
    <w:rsid w:val="517F64D7"/>
    <w:rsid w:val="51D749E4"/>
    <w:rsid w:val="52036264"/>
    <w:rsid w:val="52187F99"/>
    <w:rsid w:val="522D5F79"/>
    <w:rsid w:val="522F16E4"/>
    <w:rsid w:val="5231207B"/>
    <w:rsid w:val="524A6342"/>
    <w:rsid w:val="524F52BB"/>
    <w:rsid w:val="526D5F22"/>
    <w:rsid w:val="52835055"/>
    <w:rsid w:val="528F6FBB"/>
    <w:rsid w:val="52D810E7"/>
    <w:rsid w:val="52F90C88"/>
    <w:rsid w:val="532320C7"/>
    <w:rsid w:val="534D2708"/>
    <w:rsid w:val="539D28EE"/>
    <w:rsid w:val="53F03133"/>
    <w:rsid w:val="53F5012E"/>
    <w:rsid w:val="541B0574"/>
    <w:rsid w:val="54435979"/>
    <w:rsid w:val="54780E92"/>
    <w:rsid w:val="549363DD"/>
    <w:rsid w:val="54AA1E11"/>
    <w:rsid w:val="54CA364B"/>
    <w:rsid w:val="550B5EBE"/>
    <w:rsid w:val="5570427F"/>
    <w:rsid w:val="55872104"/>
    <w:rsid w:val="558A24D5"/>
    <w:rsid w:val="559F1171"/>
    <w:rsid w:val="5649137D"/>
    <w:rsid w:val="56493FC8"/>
    <w:rsid w:val="566B14FC"/>
    <w:rsid w:val="567560CE"/>
    <w:rsid w:val="568D1F49"/>
    <w:rsid w:val="56AC411A"/>
    <w:rsid w:val="56B048AD"/>
    <w:rsid w:val="56B55CBB"/>
    <w:rsid w:val="56C2564C"/>
    <w:rsid w:val="56CC3CD1"/>
    <w:rsid w:val="57287CF8"/>
    <w:rsid w:val="572D3FD1"/>
    <w:rsid w:val="574C6944"/>
    <w:rsid w:val="57B8668A"/>
    <w:rsid w:val="57EA5C8A"/>
    <w:rsid w:val="57F825EE"/>
    <w:rsid w:val="581259D3"/>
    <w:rsid w:val="58214741"/>
    <w:rsid w:val="58393699"/>
    <w:rsid w:val="583B56A3"/>
    <w:rsid w:val="583C434C"/>
    <w:rsid w:val="584A7EE2"/>
    <w:rsid w:val="5866536D"/>
    <w:rsid w:val="586C7407"/>
    <w:rsid w:val="588403EB"/>
    <w:rsid w:val="5889304B"/>
    <w:rsid w:val="588A4BA2"/>
    <w:rsid w:val="58B87D8D"/>
    <w:rsid w:val="58BF4796"/>
    <w:rsid w:val="58E44DF5"/>
    <w:rsid w:val="58EA59CF"/>
    <w:rsid w:val="58FF6394"/>
    <w:rsid w:val="592D1162"/>
    <w:rsid w:val="593C3655"/>
    <w:rsid w:val="593C7B97"/>
    <w:rsid w:val="595876F3"/>
    <w:rsid w:val="596B6251"/>
    <w:rsid w:val="59A977AE"/>
    <w:rsid w:val="59C80206"/>
    <w:rsid w:val="5A1153A4"/>
    <w:rsid w:val="5A453A4B"/>
    <w:rsid w:val="5A520EC9"/>
    <w:rsid w:val="5A627D76"/>
    <w:rsid w:val="5AA12D91"/>
    <w:rsid w:val="5B272EDE"/>
    <w:rsid w:val="5B5753FF"/>
    <w:rsid w:val="5B664592"/>
    <w:rsid w:val="5B6A6340"/>
    <w:rsid w:val="5B912DAE"/>
    <w:rsid w:val="5BA155B4"/>
    <w:rsid w:val="5BA76B67"/>
    <w:rsid w:val="5BB0760C"/>
    <w:rsid w:val="5BB75BBB"/>
    <w:rsid w:val="5BBA7F13"/>
    <w:rsid w:val="5BF374C1"/>
    <w:rsid w:val="5C1175E2"/>
    <w:rsid w:val="5C4C7FAE"/>
    <w:rsid w:val="5C836AAD"/>
    <w:rsid w:val="5C8751A9"/>
    <w:rsid w:val="5C9E5130"/>
    <w:rsid w:val="5CA440B6"/>
    <w:rsid w:val="5CB00D05"/>
    <w:rsid w:val="5CF416C3"/>
    <w:rsid w:val="5D210233"/>
    <w:rsid w:val="5D56201D"/>
    <w:rsid w:val="5DC41540"/>
    <w:rsid w:val="5DE45B78"/>
    <w:rsid w:val="5E661F17"/>
    <w:rsid w:val="5E86709B"/>
    <w:rsid w:val="5E8D0167"/>
    <w:rsid w:val="5ED279C5"/>
    <w:rsid w:val="5EEE475B"/>
    <w:rsid w:val="5F0E1984"/>
    <w:rsid w:val="5F45093F"/>
    <w:rsid w:val="5F5716BA"/>
    <w:rsid w:val="5F8C09CF"/>
    <w:rsid w:val="5FAE356D"/>
    <w:rsid w:val="5FC14E91"/>
    <w:rsid w:val="5FDD458A"/>
    <w:rsid w:val="60016D62"/>
    <w:rsid w:val="601B68B6"/>
    <w:rsid w:val="6026043B"/>
    <w:rsid w:val="602965DE"/>
    <w:rsid w:val="6030655E"/>
    <w:rsid w:val="60580A47"/>
    <w:rsid w:val="60670631"/>
    <w:rsid w:val="606F4D46"/>
    <w:rsid w:val="60D561CF"/>
    <w:rsid w:val="60EB486E"/>
    <w:rsid w:val="610F7577"/>
    <w:rsid w:val="611B629A"/>
    <w:rsid w:val="61671AF9"/>
    <w:rsid w:val="61A47810"/>
    <w:rsid w:val="61FD4410"/>
    <w:rsid w:val="62367E26"/>
    <w:rsid w:val="62395087"/>
    <w:rsid w:val="62633FDF"/>
    <w:rsid w:val="62645B4D"/>
    <w:rsid w:val="626E1280"/>
    <w:rsid w:val="62840CFF"/>
    <w:rsid w:val="62895304"/>
    <w:rsid w:val="62972ADA"/>
    <w:rsid w:val="62A23690"/>
    <w:rsid w:val="63036245"/>
    <w:rsid w:val="631B12D3"/>
    <w:rsid w:val="634A24A1"/>
    <w:rsid w:val="63523CFB"/>
    <w:rsid w:val="635974A2"/>
    <w:rsid w:val="63694C41"/>
    <w:rsid w:val="63C1391E"/>
    <w:rsid w:val="63C71C5A"/>
    <w:rsid w:val="641E3E74"/>
    <w:rsid w:val="64702F6D"/>
    <w:rsid w:val="649C0AFA"/>
    <w:rsid w:val="64A644D5"/>
    <w:rsid w:val="64A8608F"/>
    <w:rsid w:val="656870F9"/>
    <w:rsid w:val="65887D99"/>
    <w:rsid w:val="65F23DA1"/>
    <w:rsid w:val="665A745A"/>
    <w:rsid w:val="66B04AA5"/>
    <w:rsid w:val="67184E2F"/>
    <w:rsid w:val="674434EA"/>
    <w:rsid w:val="67633CE3"/>
    <w:rsid w:val="67682861"/>
    <w:rsid w:val="67733F96"/>
    <w:rsid w:val="67E52A47"/>
    <w:rsid w:val="68440EBB"/>
    <w:rsid w:val="684C43BE"/>
    <w:rsid w:val="685B0E48"/>
    <w:rsid w:val="686B49C0"/>
    <w:rsid w:val="688A7EBA"/>
    <w:rsid w:val="68F52106"/>
    <w:rsid w:val="69394DC0"/>
    <w:rsid w:val="6942466E"/>
    <w:rsid w:val="695B0BF6"/>
    <w:rsid w:val="695C31B2"/>
    <w:rsid w:val="69804F1D"/>
    <w:rsid w:val="69820502"/>
    <w:rsid w:val="699E76C3"/>
    <w:rsid w:val="69D167E4"/>
    <w:rsid w:val="69D952BF"/>
    <w:rsid w:val="69DE3EA0"/>
    <w:rsid w:val="69EE0449"/>
    <w:rsid w:val="69FA74F0"/>
    <w:rsid w:val="69FB66AE"/>
    <w:rsid w:val="6A064FC8"/>
    <w:rsid w:val="6A2850C9"/>
    <w:rsid w:val="6A2D6FEA"/>
    <w:rsid w:val="6A4300BB"/>
    <w:rsid w:val="6A5A6C3D"/>
    <w:rsid w:val="6A60385E"/>
    <w:rsid w:val="6AB2209A"/>
    <w:rsid w:val="6AB965AE"/>
    <w:rsid w:val="6B04095E"/>
    <w:rsid w:val="6B2D6301"/>
    <w:rsid w:val="6B316F51"/>
    <w:rsid w:val="6B3A7080"/>
    <w:rsid w:val="6B6363AA"/>
    <w:rsid w:val="6B656A50"/>
    <w:rsid w:val="6B8251D5"/>
    <w:rsid w:val="6B8E22EF"/>
    <w:rsid w:val="6B987F42"/>
    <w:rsid w:val="6BBC34D8"/>
    <w:rsid w:val="6BBC71FC"/>
    <w:rsid w:val="6BD004AF"/>
    <w:rsid w:val="6BD74EB4"/>
    <w:rsid w:val="6C5518BA"/>
    <w:rsid w:val="6C8C5317"/>
    <w:rsid w:val="6C971D28"/>
    <w:rsid w:val="6CA74FA5"/>
    <w:rsid w:val="6CBB1596"/>
    <w:rsid w:val="6CD32772"/>
    <w:rsid w:val="6CE61640"/>
    <w:rsid w:val="6CF20431"/>
    <w:rsid w:val="6D2F0684"/>
    <w:rsid w:val="6D4B6885"/>
    <w:rsid w:val="6D4D615D"/>
    <w:rsid w:val="6D636083"/>
    <w:rsid w:val="6D9F016E"/>
    <w:rsid w:val="6DC21C13"/>
    <w:rsid w:val="6DC26C23"/>
    <w:rsid w:val="6DD81C0A"/>
    <w:rsid w:val="6DD96015"/>
    <w:rsid w:val="6DE84D24"/>
    <w:rsid w:val="6E1D13DC"/>
    <w:rsid w:val="6E3051B6"/>
    <w:rsid w:val="6E363290"/>
    <w:rsid w:val="6E4933E4"/>
    <w:rsid w:val="6E6562EE"/>
    <w:rsid w:val="6E6E3500"/>
    <w:rsid w:val="6E76656F"/>
    <w:rsid w:val="6E804EC4"/>
    <w:rsid w:val="6E811B73"/>
    <w:rsid w:val="6E863281"/>
    <w:rsid w:val="6E8C41A0"/>
    <w:rsid w:val="6E9D5542"/>
    <w:rsid w:val="6EDC6021"/>
    <w:rsid w:val="6F0A6B89"/>
    <w:rsid w:val="6F2C02F2"/>
    <w:rsid w:val="6F5E52D4"/>
    <w:rsid w:val="6F9B6D8A"/>
    <w:rsid w:val="6F9B6FAD"/>
    <w:rsid w:val="6F9D2B83"/>
    <w:rsid w:val="6F9F0256"/>
    <w:rsid w:val="6FAE7E6C"/>
    <w:rsid w:val="6FD1089C"/>
    <w:rsid w:val="6FE84ADC"/>
    <w:rsid w:val="70387797"/>
    <w:rsid w:val="70510AB0"/>
    <w:rsid w:val="70680B4D"/>
    <w:rsid w:val="70853F56"/>
    <w:rsid w:val="70943AB7"/>
    <w:rsid w:val="709531F6"/>
    <w:rsid w:val="709F182A"/>
    <w:rsid w:val="70A21277"/>
    <w:rsid w:val="70AD5C5E"/>
    <w:rsid w:val="70ED091C"/>
    <w:rsid w:val="710A5C80"/>
    <w:rsid w:val="711B63B4"/>
    <w:rsid w:val="715A7911"/>
    <w:rsid w:val="7178256D"/>
    <w:rsid w:val="717A1E45"/>
    <w:rsid w:val="719D13B2"/>
    <w:rsid w:val="71C8046F"/>
    <w:rsid w:val="71D622A3"/>
    <w:rsid w:val="71DA6162"/>
    <w:rsid w:val="71DB700A"/>
    <w:rsid w:val="71DF088E"/>
    <w:rsid w:val="72C55BD8"/>
    <w:rsid w:val="72C8235E"/>
    <w:rsid w:val="72F135BC"/>
    <w:rsid w:val="72F2446E"/>
    <w:rsid w:val="730523B4"/>
    <w:rsid w:val="73153F3C"/>
    <w:rsid w:val="73387268"/>
    <w:rsid w:val="73847BFE"/>
    <w:rsid w:val="73872145"/>
    <w:rsid w:val="739871C6"/>
    <w:rsid w:val="73AC77CE"/>
    <w:rsid w:val="73CD6A46"/>
    <w:rsid w:val="742B6424"/>
    <w:rsid w:val="74425C89"/>
    <w:rsid w:val="74444064"/>
    <w:rsid w:val="744B7D4B"/>
    <w:rsid w:val="74650A58"/>
    <w:rsid w:val="74DB66B0"/>
    <w:rsid w:val="74DC53DD"/>
    <w:rsid w:val="74DF5BFA"/>
    <w:rsid w:val="74FC65DD"/>
    <w:rsid w:val="75257C9A"/>
    <w:rsid w:val="75262A2F"/>
    <w:rsid w:val="75787C4E"/>
    <w:rsid w:val="75961E50"/>
    <w:rsid w:val="75E47C1A"/>
    <w:rsid w:val="75E53C34"/>
    <w:rsid w:val="75FA1CC7"/>
    <w:rsid w:val="75FB1C83"/>
    <w:rsid w:val="76093F1F"/>
    <w:rsid w:val="76300459"/>
    <w:rsid w:val="76663571"/>
    <w:rsid w:val="76A86BBB"/>
    <w:rsid w:val="76BC460E"/>
    <w:rsid w:val="76E57F2A"/>
    <w:rsid w:val="76EF0818"/>
    <w:rsid w:val="76FD071B"/>
    <w:rsid w:val="770B7F39"/>
    <w:rsid w:val="77164A37"/>
    <w:rsid w:val="771D272F"/>
    <w:rsid w:val="773C1398"/>
    <w:rsid w:val="77463DBE"/>
    <w:rsid w:val="775102EC"/>
    <w:rsid w:val="777A1304"/>
    <w:rsid w:val="778B07AF"/>
    <w:rsid w:val="77986A4A"/>
    <w:rsid w:val="77A07274"/>
    <w:rsid w:val="77B10C2C"/>
    <w:rsid w:val="77DC6205"/>
    <w:rsid w:val="77FD6011"/>
    <w:rsid w:val="781E4895"/>
    <w:rsid w:val="78230E9D"/>
    <w:rsid w:val="78241AE3"/>
    <w:rsid w:val="785509CB"/>
    <w:rsid w:val="78584949"/>
    <w:rsid w:val="787D0C36"/>
    <w:rsid w:val="78845300"/>
    <w:rsid w:val="788B0DFB"/>
    <w:rsid w:val="791D1B23"/>
    <w:rsid w:val="79271803"/>
    <w:rsid w:val="79745750"/>
    <w:rsid w:val="797667E7"/>
    <w:rsid w:val="79767798"/>
    <w:rsid w:val="799450BD"/>
    <w:rsid w:val="79F33636"/>
    <w:rsid w:val="7A1F234E"/>
    <w:rsid w:val="7A2E53FC"/>
    <w:rsid w:val="7A3D3B46"/>
    <w:rsid w:val="7A582C22"/>
    <w:rsid w:val="7A5F1616"/>
    <w:rsid w:val="7A7B60A2"/>
    <w:rsid w:val="7A9D341E"/>
    <w:rsid w:val="7AB231EC"/>
    <w:rsid w:val="7AC1038E"/>
    <w:rsid w:val="7ACF7915"/>
    <w:rsid w:val="7B0920C8"/>
    <w:rsid w:val="7B134A81"/>
    <w:rsid w:val="7B36292A"/>
    <w:rsid w:val="7B38069F"/>
    <w:rsid w:val="7B65362D"/>
    <w:rsid w:val="7B6C47D5"/>
    <w:rsid w:val="7B7355EB"/>
    <w:rsid w:val="7B7813AA"/>
    <w:rsid w:val="7B83508C"/>
    <w:rsid w:val="7B9F7D4D"/>
    <w:rsid w:val="7BBC0A14"/>
    <w:rsid w:val="7BC966A8"/>
    <w:rsid w:val="7BED7A3A"/>
    <w:rsid w:val="7C3B2728"/>
    <w:rsid w:val="7C7C5253"/>
    <w:rsid w:val="7C811909"/>
    <w:rsid w:val="7C966D55"/>
    <w:rsid w:val="7C971CEE"/>
    <w:rsid w:val="7CB80F28"/>
    <w:rsid w:val="7CC002EA"/>
    <w:rsid w:val="7CD61E8A"/>
    <w:rsid w:val="7CF82391"/>
    <w:rsid w:val="7CF972AE"/>
    <w:rsid w:val="7D38370D"/>
    <w:rsid w:val="7D3C4C36"/>
    <w:rsid w:val="7D4959F1"/>
    <w:rsid w:val="7D537091"/>
    <w:rsid w:val="7D6D1BA2"/>
    <w:rsid w:val="7DBE06E2"/>
    <w:rsid w:val="7DF2643D"/>
    <w:rsid w:val="7E0D7C1E"/>
    <w:rsid w:val="7E1119F0"/>
    <w:rsid w:val="7E5D4D83"/>
    <w:rsid w:val="7E7515B9"/>
    <w:rsid w:val="7E7D3062"/>
    <w:rsid w:val="7E890E13"/>
    <w:rsid w:val="7E9223D0"/>
    <w:rsid w:val="7E9A3432"/>
    <w:rsid w:val="7EB470EE"/>
    <w:rsid w:val="7EF32CA3"/>
    <w:rsid w:val="7F0B4B59"/>
    <w:rsid w:val="7F17355A"/>
    <w:rsid w:val="7F206335"/>
    <w:rsid w:val="7F285F66"/>
    <w:rsid w:val="7F2F1C15"/>
    <w:rsid w:val="7F3558F1"/>
    <w:rsid w:val="7F43352A"/>
    <w:rsid w:val="7F666A93"/>
    <w:rsid w:val="7F733441"/>
    <w:rsid w:val="7F7D0CD9"/>
    <w:rsid w:val="7FAC23A6"/>
    <w:rsid w:val="7FCB18AD"/>
    <w:rsid w:val="7FD51843"/>
    <w:rsid w:val="7FFC2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styleId="9">
    <w:name w:val="List Paragraph"/>
    <w:basedOn w:val="1"/>
    <w:qFormat/>
    <w:uiPriority w:val="34"/>
    <w:pPr>
      <w:ind w:firstLine="420" w:firstLineChars="200"/>
    </w:pPr>
  </w:style>
  <w:style w:type="paragraph" w:customStyle="1" w:styleId="10">
    <w:name w:val="Char"/>
    <w:basedOn w:val="1"/>
    <w:qFormat/>
    <w:uiPriority w:val="0"/>
    <w:pPr>
      <w:widowControl/>
      <w:spacing w:line="240" w:lineRule="exact"/>
      <w:ind w:left="1"/>
      <w:jc w:val="left"/>
    </w:pPr>
    <w:rPr>
      <w:kern w:val="0"/>
      <w:sz w:val="20"/>
      <w:szCs w:val="20"/>
    </w:rPr>
  </w:style>
  <w:style w:type="character" w:customStyle="1" w:styleId="11">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习水县飞跃电脑科技有限公司</Company>
  <Pages>10</Pages>
  <Words>684</Words>
  <Characters>3904</Characters>
  <Lines>32</Lines>
  <Paragraphs>9</Paragraphs>
  <TotalTime>8</TotalTime>
  <ScaleCrop>false</ScaleCrop>
  <LinksUpToDate>false</LinksUpToDate>
  <CharactersWithSpaces>4579</CharactersWithSpaces>
  <Application>WPS Office_11.1.0.11284_F1E327BC-269C-435d-A152-05C5408002CA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2021-01-08T01:49:00Z</dcterms:created>
  <dc:creator>Administrator</dc:creator>
  <cp:lastModifiedBy>一</cp:lastModifiedBy>
  <cp:lastPrinted>2021-11-01T03:50:00Z</cp:lastPrinted>
  <dcterms:modified xsi:type="dcterms:W3CDTF">2022-01-07T01:45:59Z</dcterms:modified>
  <dc:title>赤国土资用呈[2007]7号           签发人:许小平</dc:title>
  <cp:revision>611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3B8C5C45077A4552AF00D8965660DE9B</vt:lpwstr>
  </property>
</Properties>
</file>