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8E" w:rsidRPr="005A7D67" w:rsidRDefault="00CF648E" w:rsidP="00CF648E">
      <w:pPr>
        <w:jc w:val="center"/>
        <w:rPr>
          <w:rFonts w:ascii="黑体" w:eastAsia="黑体" w:hAnsi="黑体"/>
          <w:b/>
          <w:sz w:val="44"/>
          <w:szCs w:val="44"/>
        </w:rPr>
      </w:pPr>
      <w:bookmarkStart w:id="0" w:name="OLE_LINK1"/>
      <w:r w:rsidRPr="005A7D67">
        <w:rPr>
          <w:rFonts w:ascii="黑体" w:eastAsia="黑体" w:hAnsi="黑体" w:hint="eastAsia"/>
          <w:b/>
          <w:sz w:val="44"/>
          <w:szCs w:val="44"/>
        </w:rPr>
        <w:t>澄清说明</w:t>
      </w:r>
    </w:p>
    <w:p w:rsidR="00CF648E" w:rsidRDefault="00CF648E" w:rsidP="00CF648E">
      <w:r>
        <w:rPr>
          <w:rFonts w:hint="eastAsia"/>
        </w:rPr>
        <w:t>各投标人：</w:t>
      </w:r>
    </w:p>
    <w:p w:rsidR="00CF648E" w:rsidRDefault="00CF648E" w:rsidP="00AC07DE">
      <w:pPr>
        <w:adjustRightInd w:val="0"/>
        <w:snapToGrid w:val="0"/>
        <w:spacing w:line="300" w:lineRule="auto"/>
        <w:ind w:firstLineChars="200" w:firstLine="420"/>
        <w:jc w:val="left"/>
      </w:pPr>
      <w:r>
        <w:rPr>
          <w:rFonts w:hint="eastAsia"/>
        </w:rPr>
        <w:t>一、</w:t>
      </w:r>
      <w:r w:rsidR="00AC07DE">
        <w:rPr>
          <w:rFonts w:hint="eastAsia"/>
        </w:rPr>
        <w:t>因遵义市公共资源交易中心开标室中电脑无光驱，故招标文件中提到提交电子光盘的地方均修改为提交电子</w:t>
      </w:r>
      <w:r w:rsidR="00AC07DE">
        <w:rPr>
          <w:rFonts w:hint="eastAsia"/>
        </w:rPr>
        <w:t>U</w:t>
      </w:r>
      <w:r w:rsidR="00AC07DE">
        <w:rPr>
          <w:rFonts w:hint="eastAsia"/>
        </w:rPr>
        <w:t>盘。</w:t>
      </w:r>
    </w:p>
    <w:p w:rsidR="00CF648E" w:rsidRDefault="00CF648E" w:rsidP="00CF648E">
      <w:pPr>
        <w:ind w:firstLineChars="200" w:firstLine="420"/>
      </w:pPr>
      <w:r>
        <w:rPr>
          <w:rFonts w:hint="eastAsia"/>
        </w:rPr>
        <w:t>二、</w:t>
      </w:r>
      <w:r w:rsidR="00AC07DE" w:rsidRPr="005A7D67">
        <w:rPr>
          <w:rFonts w:asciiTheme="minorEastAsia" w:hAnsiTheme="minorEastAsia" w:hint="eastAsia"/>
          <w:szCs w:val="21"/>
        </w:rPr>
        <w:t>评分办法修改详见评标办法前附表。</w:t>
      </w:r>
    </w:p>
    <w:p w:rsidR="00AC07DE" w:rsidRDefault="00AC07DE" w:rsidP="00AC07DE">
      <w:pPr>
        <w:jc w:val="center"/>
        <w:rPr>
          <w:rFonts w:ascii="宋体" w:hAnsi="宋体" w:cs="宋体"/>
          <w:sz w:val="24"/>
          <w:szCs w:val="24"/>
        </w:rPr>
      </w:pPr>
      <w:r>
        <w:rPr>
          <w:rFonts w:ascii="宋体" w:hAnsi="宋体" w:cs="宋体" w:hint="eastAsia"/>
          <w:sz w:val="24"/>
          <w:szCs w:val="24"/>
        </w:rPr>
        <w:t>评标办法前附表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136"/>
        <w:gridCol w:w="7376"/>
      </w:tblGrid>
      <w:tr w:rsidR="00AC07DE" w:rsidTr="00CA368C">
        <w:trPr>
          <w:trHeight w:val="273"/>
          <w:jc w:val="center"/>
        </w:trPr>
        <w:tc>
          <w:tcPr>
            <w:tcW w:w="1924" w:type="dxa"/>
            <w:gridSpan w:val="2"/>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条款号</w:t>
            </w:r>
          </w:p>
        </w:tc>
        <w:tc>
          <w:tcPr>
            <w:tcW w:w="7374"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评审因素与评审标准</w:t>
            </w:r>
          </w:p>
        </w:tc>
      </w:tr>
      <w:tr w:rsidR="00AC07DE" w:rsidTr="00CA368C">
        <w:trPr>
          <w:trHeight w:val="90"/>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1</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评标方法</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综合评分相等时，评标委员会依次按照以下优先顺序推荐中标候选人或确定中标人：</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（1）评标价低的投标人优先；</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（2）由信用 (资信)评估机构出具的信用等级高的优先；</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（3）被招标项目所在地省级交通运输主管部门评为较高信用等级的投标人优先；</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（4）商务和技术得分较高的投标人优先；</w:t>
            </w:r>
          </w:p>
        </w:tc>
      </w:tr>
      <w:tr w:rsidR="00AC07DE" w:rsidTr="00CA368C">
        <w:trPr>
          <w:trHeight w:val="90"/>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2.1.1</w:t>
            </w:r>
          </w:p>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2.1.3</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形式评审与响应性评审标准</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评审标准：</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（1）投标文件按照招标文件规定的格式、内容填写，字迹清晰可辨：</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a.投标函按招标文件规定填报了项目名称、标段号、补遗书编号（如有）、工期、工程质量要求及安全目标；</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b.投标函附录的所有数据均符合招标文件规定；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c.投标文件组成齐全完整，内容均按规定填写。</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（2）投标文件上法定代表人或其委托代理人的签字、投标人的单位章盖章齐全，符合招标文件规定。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（3）投标人发生合并、分立、破产等重大变化的，仍具备资格审查文件规定的相应资格条件且其投标未影响招标公正性：</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a.投标人应提供相关部门的合法批件及企业法人营业执照和资质证书等证件的副本变更记录复印件；</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b.投标人仍然满足资格审查文件中规定的资格预审条件最低要求（资质、业绩、人员、信誉、财务等）；</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c.与所投标段的其他投标人不存在控股、管理关系或单位负责人为同一人的情况；与招标人也不存在利害关系并可能影响招标公正性。</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（4）投标人按照招标文件的规定提供了投标保证金：</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a.投标保证金金额符合招标文件规定的金额，且投标保证金有效期不少于投标有效期；</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b.若投标保证金采用现金或支票形式提交，投标人应在递交投标文件截止时间之前，将投标保证金由投标人的基本账户转入招标人指定账户；</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c.若投标保证金采用银行保函形式提交，银行保函的格式、开具保函的银行均满足招标文件要求，且在递交投标文件截止时间之前向招标人提交了银行保函原件。</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（5）投标人法定代表人授权委托代理人签署投标文件的，须提交授权委托书，且授权人和被授权人均在授权委托书上签名，未使用印章、签名章或其他电子制版签名代替。</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（6）投标人法定代表人亲自签署投标文件的，提供了法定代表人身份证明，且法定代表人在法定代表人身份证明上签名，未使用印章、签名章或其他电子制版签名代替。</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（7）投标人以联合体形式投标时，联合体满足招标文件的要求：</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a.未进行资格预审的，投标人按照招标文件提供的格式签订了联合体协议书，明确各方承担连带责任，并明确了联合体牵头人；</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b.已进行资格预审的，投标人提供了资格预审申请文件中所附的联合体协议书复印件，且通过资格预审后的联合体无成员增减或更换的情况。</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（8）投标人如有分包计划，符合招标文件第二章“投标人须知”第1.11款规定，且按招标文件第九章“投标文件格式”的要求填写了“拟分包项目情况表”。</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（9）同一投标人未提交两个以上不同的投标文件，但招标文件要求提交备选投标的除外。</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lastRenderedPageBreak/>
              <w:t>（10）投标文件载明的招标项目完成期限未超过招标文件规定的时限。</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（11）投标文件对招标文件的实质性要求和条件作出响应。</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（12）权利义务符合招标文件规定：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a.投标人应接受招标文件规定的风险划分原则，未提出新的风险划分办法；</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b.投标人未增加发包人的责任范围，或减少投标人义务；</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c.投标人未提出不同的工程验收、计量、支付办法；</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d.投标人对合同纠纷、事故处理办法未提出异议；</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e.投标人在投标活动中无欺诈行为；</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f.投标人未对合同条款有重要保留。</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（13）投标文件符合招标文件第二章“投标人须知”第3.7.4项规定。</w:t>
            </w:r>
          </w:p>
        </w:tc>
      </w:tr>
      <w:tr w:rsidR="00AC07DE" w:rsidTr="00CA368C">
        <w:trPr>
          <w:trHeight w:val="2590"/>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lastRenderedPageBreak/>
              <w:t>2.1.2</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资格评审</w:t>
            </w:r>
          </w:p>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标准</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（1）投标人具备有效的营业执照、组织机构代码证、资质证书、安全生产许可证和基本账户开户许可证。</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（2）投标人的资质等级符合招标文件规定。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（3）投标人的财务状况符合招标文件规定。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（4）投标人的类似项目业绩符合招标文件规定。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（5）投标人的信誉符合招标文件规定。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（6）投标人的项目经理和项目总工资格、在岗情况符合招标文件规定。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（7）投标人的其他要求符合招标文件规定。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（8）投标人不存在第二章“投标人须知”第1.4.3项或第1.4.4项规定的任何一种情形。</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（9）投标人符合第二章“投标人须知”第1.4.5项规定。</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（10）以联合体形式参与投标的，联合体各方均未再以自己名义单独或参加其他联合体在同一标段中投标；独立参与投标的，投标人未同时参加联合体在同一标段中投标。</w:t>
            </w:r>
          </w:p>
        </w:tc>
      </w:tr>
      <w:tr w:rsidR="00AC07DE" w:rsidTr="00CA368C">
        <w:trPr>
          <w:trHeight w:val="90"/>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2.2.1</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分值构成</w:t>
            </w:r>
          </w:p>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（总分100分）</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评分分值构成：</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施工组织设计：25分</w:t>
            </w:r>
          </w:p>
          <w:p w:rsidR="00AC07DE" w:rsidRDefault="00AC07DE" w:rsidP="00CA368C">
            <w:pPr>
              <w:adjustRightInd w:val="0"/>
              <w:snapToGrid w:val="0"/>
              <w:spacing w:line="300" w:lineRule="auto"/>
              <w:jc w:val="left"/>
            </w:pPr>
            <w:r>
              <w:rPr>
                <w:rFonts w:ascii="宋体" w:hAnsi="宋体" w:cs="宋体" w:hint="eastAsia"/>
                <w:sz w:val="18"/>
                <w:szCs w:val="18"/>
              </w:rPr>
              <w:t>主要人员：6 分</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财务能力：5 分</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用工承诺：6 分</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履约信誉：3分</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评标价：55分</w:t>
            </w:r>
          </w:p>
        </w:tc>
      </w:tr>
      <w:tr w:rsidR="00AC07DE" w:rsidTr="00CA368C">
        <w:trPr>
          <w:trHeight w:val="180"/>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2.2.2</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评标基准价计算方法</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评标基准价的计算：</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采用去掉一个最高（或两个最高）和最低有效投标报价后的算术平均值</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评标基准价计算公式：J=(B1+B2+…+ Bn )÷n</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有效投标报价界定：最高投标限价（招标控制价）≥有效投标报价≥成本警戒线</w:t>
            </w:r>
          </w:p>
        </w:tc>
      </w:tr>
      <w:tr w:rsidR="00AC07DE" w:rsidTr="00CA368C">
        <w:trPr>
          <w:trHeight w:val="465"/>
          <w:jc w:val="center"/>
        </w:trPr>
        <w:tc>
          <w:tcPr>
            <w:tcW w:w="788"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2.2.3</w:t>
            </w:r>
          </w:p>
        </w:tc>
        <w:tc>
          <w:tcPr>
            <w:tcW w:w="1136"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评标价的偏差率计算公式</w:t>
            </w:r>
          </w:p>
        </w:tc>
        <w:tc>
          <w:tcPr>
            <w:tcW w:w="7376"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偏差率=100% ×（投标人评标价－评标基准价）/评标基准价</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偏差率保留 2 位小数</w:t>
            </w:r>
          </w:p>
        </w:tc>
      </w:tr>
    </w:tbl>
    <w:p w:rsidR="00AC07DE" w:rsidRDefault="00AC07DE" w:rsidP="00AC07DE">
      <w:pPr>
        <w:jc w:val="left"/>
        <w:rPr>
          <w:rFonts w:ascii="宋体" w:hAnsi="宋体" w:cs="宋体"/>
        </w:rPr>
      </w:pPr>
    </w:p>
    <w:p w:rsidR="00AC07DE" w:rsidRDefault="00AC07DE" w:rsidP="00AC07DE">
      <w:pPr>
        <w:jc w:val="left"/>
        <w:rPr>
          <w:rFonts w:ascii="宋体" w:hAnsi="宋体" w:cs="宋体"/>
        </w:rPr>
      </w:pPr>
    </w:p>
    <w:p w:rsidR="00AC07DE" w:rsidRDefault="00AC07DE" w:rsidP="00AC07DE">
      <w:r>
        <w:rPr>
          <w:rFonts w:hint="eastAsia"/>
        </w:rPr>
        <w:br w:type="page"/>
      </w:r>
      <w:r>
        <w:rPr>
          <w:rFonts w:hint="eastAsia"/>
        </w:rPr>
        <w:lastRenderedPageBreak/>
        <w:t>续上表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807"/>
        <w:gridCol w:w="870"/>
        <w:gridCol w:w="727"/>
        <w:gridCol w:w="573"/>
        <w:gridCol w:w="1613"/>
        <w:gridCol w:w="780"/>
        <w:gridCol w:w="2741"/>
      </w:tblGrid>
      <w:tr w:rsidR="00AC07DE" w:rsidTr="00CA368C">
        <w:trPr>
          <w:trHeight w:val="388"/>
          <w:jc w:val="center"/>
        </w:trPr>
        <w:tc>
          <w:tcPr>
            <w:tcW w:w="6171" w:type="dxa"/>
            <w:gridSpan w:val="7"/>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评分因素与权重分值</w:t>
            </w:r>
          </w:p>
        </w:tc>
        <w:tc>
          <w:tcPr>
            <w:tcW w:w="2741"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评分标准</w:t>
            </w:r>
          </w:p>
        </w:tc>
      </w:tr>
      <w:tr w:rsidR="00AC07DE" w:rsidTr="00CA368C">
        <w:trPr>
          <w:trHeight w:val="388"/>
          <w:jc w:val="center"/>
        </w:trPr>
        <w:tc>
          <w:tcPr>
            <w:tcW w:w="801"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条款号</w:t>
            </w:r>
          </w:p>
        </w:tc>
        <w:tc>
          <w:tcPr>
            <w:tcW w:w="80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评分因素</w:t>
            </w:r>
          </w:p>
        </w:tc>
        <w:tc>
          <w:tcPr>
            <w:tcW w:w="87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评分因素权重分值</w:t>
            </w: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各评分因素细分项</w:t>
            </w:r>
          </w:p>
        </w:tc>
        <w:tc>
          <w:tcPr>
            <w:tcW w:w="780"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分值</w:t>
            </w:r>
          </w:p>
        </w:tc>
        <w:tc>
          <w:tcPr>
            <w:tcW w:w="2741"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r>
      <w:tr w:rsidR="00AC07DE" w:rsidTr="00CA368C">
        <w:trPr>
          <w:trHeight w:val="320"/>
          <w:jc w:val="center"/>
        </w:trPr>
        <w:tc>
          <w:tcPr>
            <w:tcW w:w="801"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2.2.4（1）</w:t>
            </w:r>
          </w:p>
        </w:tc>
        <w:tc>
          <w:tcPr>
            <w:tcW w:w="807"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施工组织设计</w:t>
            </w:r>
          </w:p>
        </w:tc>
        <w:tc>
          <w:tcPr>
            <w:tcW w:w="870"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25分</w:t>
            </w: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总体施工组织布置及规划</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好：2分，较好：1.2-1.9分，差：0.5-1.8分；缺项：0分；</w:t>
            </w:r>
          </w:p>
        </w:tc>
      </w:tr>
      <w:tr w:rsidR="00AC07DE" w:rsidTr="00CA368C">
        <w:trPr>
          <w:trHeight w:val="480"/>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主要工程项目的施工方案、方法与技术措施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5分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好：5分，较好：3.0-4.9分，差：0.5-3.0分；缺项：0分；</w:t>
            </w:r>
          </w:p>
        </w:tc>
      </w:tr>
      <w:tr w:rsidR="00AC07DE" w:rsidTr="00CA368C">
        <w:trPr>
          <w:trHeight w:val="199"/>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工期保证体系及保证措施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好：3分，较好：1.5分-2.9，差：0.5-1.4分；缺项：0分；</w:t>
            </w:r>
          </w:p>
        </w:tc>
      </w:tr>
      <w:tr w:rsidR="00AC07DE" w:rsidTr="00CA368C">
        <w:trPr>
          <w:trHeight w:val="200"/>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工程质量管理体系及保证措施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4分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好：4分，较好：1.5分-3.9，差：0.5-1.4分；缺项：0分；</w:t>
            </w:r>
          </w:p>
        </w:tc>
      </w:tr>
      <w:tr w:rsidR="00AC07DE" w:rsidTr="00CA368C">
        <w:trPr>
          <w:trHeight w:val="199"/>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安全生产管理体系及保证措施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好：3分，较好：1.5-2.9分，差：0.5-1.4分；缺项：0分；</w:t>
            </w:r>
          </w:p>
        </w:tc>
      </w:tr>
      <w:tr w:rsidR="00AC07DE" w:rsidTr="00CA368C">
        <w:trPr>
          <w:trHeight w:val="390"/>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环境保护、水土保持保证体系及保证措施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好：3分，较好：1.5分-2.9，差：0.5-1.4分；缺项：0分；</w:t>
            </w:r>
          </w:p>
        </w:tc>
      </w:tr>
      <w:tr w:rsidR="00AC07DE" w:rsidTr="00CA368C">
        <w:trPr>
          <w:trHeight w:val="390"/>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文明施工、文物保护保证体系及保证措施</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好：2分，较好：1.2-1.9分，差：0.5-1.1分；缺项：0分；</w:t>
            </w:r>
          </w:p>
        </w:tc>
      </w:tr>
      <w:tr w:rsidR="00AC07DE" w:rsidTr="00CA368C">
        <w:trPr>
          <w:trHeight w:val="390"/>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项目风险预测与防范，事故应急预案</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好：3分，较好：1.5分-2.9，差：0.5-1.4分；缺项：0分；</w:t>
            </w:r>
          </w:p>
        </w:tc>
      </w:tr>
      <w:tr w:rsidR="00AC07DE" w:rsidTr="00CA368C">
        <w:trPr>
          <w:trHeight w:val="697"/>
          <w:jc w:val="center"/>
        </w:trPr>
        <w:tc>
          <w:tcPr>
            <w:tcW w:w="801"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2.2.4（2）</w:t>
            </w:r>
          </w:p>
        </w:tc>
        <w:tc>
          <w:tcPr>
            <w:tcW w:w="807"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主要人员</w:t>
            </w:r>
          </w:p>
        </w:tc>
        <w:tc>
          <w:tcPr>
            <w:tcW w:w="870" w:type="dxa"/>
            <w:vMerge w:val="restart"/>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6分</w:t>
            </w: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项目经理任职资格</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2741" w:type="dxa"/>
            <w:tcBorders>
              <w:tl2br w:val="nil"/>
              <w:tr2bl w:val="nil"/>
            </w:tcBorders>
            <w:vAlign w:val="center"/>
          </w:tcPr>
          <w:p w:rsidR="00AC07DE" w:rsidRDefault="00AC07DE" w:rsidP="00CA368C">
            <w:pPr>
              <w:pStyle w:val="Default"/>
              <w:snapToGrid w:val="0"/>
              <w:spacing w:line="300" w:lineRule="auto"/>
              <w:rPr>
                <w:rFonts w:ascii="宋体" w:eastAsia="宋体" w:hAnsi="宋体" w:cs="宋体"/>
                <w:color w:val="auto"/>
                <w:kern w:val="2"/>
                <w:sz w:val="18"/>
                <w:szCs w:val="18"/>
              </w:rPr>
            </w:pPr>
            <w:r>
              <w:rPr>
                <w:rFonts w:ascii="宋体" w:eastAsia="宋体" w:hAnsi="宋体" w:cs="宋体" w:hint="default"/>
                <w:color w:val="auto"/>
                <w:kern w:val="2"/>
                <w:sz w:val="18"/>
                <w:szCs w:val="18"/>
              </w:rPr>
              <w:t>满足资格审查条件得</w:t>
            </w:r>
            <w:r>
              <w:rPr>
                <w:rFonts w:ascii="宋体" w:eastAsia="宋体" w:hAnsi="宋体" w:cs="宋体"/>
                <w:color w:val="auto"/>
                <w:kern w:val="2"/>
                <w:sz w:val="18"/>
                <w:szCs w:val="18"/>
              </w:rPr>
              <w:t>3</w:t>
            </w:r>
            <w:r>
              <w:rPr>
                <w:rFonts w:ascii="宋体" w:eastAsia="宋体" w:hAnsi="宋体" w:cs="宋体" w:hint="default"/>
                <w:color w:val="auto"/>
                <w:kern w:val="2"/>
                <w:sz w:val="18"/>
                <w:szCs w:val="18"/>
              </w:rPr>
              <w:t>分。</w:t>
            </w:r>
          </w:p>
        </w:tc>
      </w:tr>
      <w:tr w:rsidR="00AC07DE" w:rsidTr="00CA368C">
        <w:trPr>
          <w:trHeight w:val="446"/>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2913" w:type="dxa"/>
            <w:gridSpan w:val="3"/>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项目总工任职资格</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2分</w:t>
            </w:r>
          </w:p>
        </w:tc>
        <w:tc>
          <w:tcPr>
            <w:tcW w:w="2741" w:type="dxa"/>
            <w:tcBorders>
              <w:tl2br w:val="nil"/>
              <w:tr2bl w:val="nil"/>
            </w:tcBorders>
            <w:vAlign w:val="center"/>
          </w:tcPr>
          <w:p w:rsidR="00AC07DE" w:rsidRDefault="00AC07DE" w:rsidP="00CA368C">
            <w:pPr>
              <w:pStyle w:val="Default"/>
              <w:snapToGrid w:val="0"/>
              <w:spacing w:line="300" w:lineRule="auto"/>
              <w:rPr>
                <w:rFonts w:ascii="宋体" w:eastAsia="宋体" w:hAnsi="宋体" w:cs="宋体" w:hint="default"/>
                <w:color w:val="auto"/>
                <w:kern w:val="2"/>
                <w:sz w:val="18"/>
                <w:szCs w:val="18"/>
              </w:rPr>
            </w:pPr>
            <w:r>
              <w:rPr>
                <w:rFonts w:ascii="宋体" w:eastAsia="宋体" w:hAnsi="宋体" w:cs="宋体" w:hint="default"/>
                <w:color w:val="auto"/>
                <w:kern w:val="2"/>
                <w:sz w:val="18"/>
                <w:szCs w:val="18"/>
              </w:rPr>
              <w:t>满足资格审查条件得</w:t>
            </w:r>
            <w:r>
              <w:rPr>
                <w:rFonts w:ascii="宋体" w:eastAsia="宋体" w:hAnsi="宋体" w:cs="宋体"/>
                <w:color w:val="auto"/>
                <w:kern w:val="2"/>
                <w:sz w:val="18"/>
                <w:szCs w:val="18"/>
              </w:rPr>
              <w:t>2</w:t>
            </w:r>
            <w:r>
              <w:rPr>
                <w:rFonts w:ascii="宋体" w:eastAsia="宋体" w:hAnsi="宋体" w:cs="宋体" w:hint="default"/>
                <w:color w:val="auto"/>
                <w:kern w:val="2"/>
                <w:sz w:val="18"/>
                <w:szCs w:val="18"/>
              </w:rPr>
              <w:t>分。</w:t>
            </w:r>
          </w:p>
        </w:tc>
      </w:tr>
      <w:tr w:rsidR="00AC07DE" w:rsidTr="00CA368C">
        <w:trPr>
          <w:trHeight w:val="546"/>
          <w:jc w:val="center"/>
        </w:trPr>
        <w:tc>
          <w:tcPr>
            <w:tcW w:w="801"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870" w:type="dxa"/>
            <w:vMerge/>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p>
        </w:tc>
        <w:tc>
          <w:tcPr>
            <w:tcW w:w="1300" w:type="dxa"/>
            <w:gridSpan w:val="2"/>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其他主要管理人员（1分）</w:t>
            </w:r>
          </w:p>
        </w:tc>
        <w:tc>
          <w:tcPr>
            <w:tcW w:w="1613"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专职安全人员</w:t>
            </w:r>
          </w:p>
        </w:tc>
        <w:tc>
          <w:tcPr>
            <w:tcW w:w="78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1分</w:t>
            </w:r>
          </w:p>
        </w:tc>
        <w:tc>
          <w:tcPr>
            <w:tcW w:w="2741"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满足资格审查条件得1分。</w:t>
            </w:r>
          </w:p>
        </w:tc>
      </w:tr>
      <w:tr w:rsidR="00AC07DE" w:rsidTr="00CA368C">
        <w:trPr>
          <w:trHeight w:val="2212"/>
          <w:jc w:val="center"/>
        </w:trPr>
        <w:tc>
          <w:tcPr>
            <w:tcW w:w="801"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2.2.4（3）</w:t>
            </w:r>
          </w:p>
        </w:tc>
        <w:tc>
          <w:tcPr>
            <w:tcW w:w="80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评标价</w:t>
            </w:r>
          </w:p>
        </w:tc>
        <w:tc>
          <w:tcPr>
            <w:tcW w:w="87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55分</w:t>
            </w:r>
          </w:p>
        </w:tc>
        <w:tc>
          <w:tcPr>
            <w:tcW w:w="6434" w:type="dxa"/>
            <w:gridSpan w:val="5"/>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评标价得分计算公式示例：</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评标基准价计算公式：J=(B1+B2+…+ Bn )÷n</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B1 B2……Bn为n个有效投标总价，当有效投标总价个数n＞3且n≤9时，J为去掉一个最高和一个最低总价后的算术平均值；当有效投标总价个数n＞9时，J为去掉二个最高和一个最低总价后的算术平均值；当有效投标总价个数n≤3时，J为全部有效投标总价的算术平均值。</w:t>
            </w:r>
          </w:p>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其中：F是评标价所占的权重分值，E1是评标价每高于评标基准价一个百分点的扣分值，E2是评标价每低于评标基准价一个百分点的扣分值；依据招标项目具体特点和实际需要设置E1=0.2、E2=0.1。</w:t>
            </w:r>
          </w:p>
        </w:tc>
      </w:tr>
      <w:tr w:rsidR="00AC07DE" w:rsidTr="00CA368C">
        <w:trPr>
          <w:trHeight w:val="452"/>
          <w:jc w:val="center"/>
        </w:trPr>
        <w:tc>
          <w:tcPr>
            <w:tcW w:w="801" w:type="dxa"/>
            <w:vMerge w:val="restart"/>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2.2.4（4）</w:t>
            </w:r>
          </w:p>
        </w:tc>
        <w:tc>
          <w:tcPr>
            <w:tcW w:w="807" w:type="dxa"/>
            <w:vMerge w:val="restart"/>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其他因素</w:t>
            </w:r>
          </w:p>
        </w:tc>
        <w:tc>
          <w:tcPr>
            <w:tcW w:w="87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trike/>
                <w:sz w:val="18"/>
                <w:szCs w:val="18"/>
              </w:rPr>
            </w:pPr>
            <w:r>
              <w:rPr>
                <w:rFonts w:ascii="宋体" w:hAnsi="宋体" w:cs="宋体" w:hint="eastAsia"/>
                <w:strike/>
                <w:sz w:val="18"/>
                <w:szCs w:val="18"/>
              </w:rPr>
              <w:t>技术能力</w:t>
            </w:r>
          </w:p>
        </w:tc>
        <w:tc>
          <w:tcPr>
            <w:tcW w:w="72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trike/>
                <w:sz w:val="18"/>
                <w:szCs w:val="18"/>
              </w:rPr>
            </w:pPr>
            <w:r>
              <w:rPr>
                <w:rFonts w:ascii="宋体" w:hAnsi="宋体" w:cs="宋体" w:hint="eastAsia"/>
                <w:strike/>
                <w:sz w:val="18"/>
                <w:szCs w:val="18"/>
              </w:rPr>
              <w:t>0分</w:t>
            </w:r>
          </w:p>
        </w:tc>
        <w:tc>
          <w:tcPr>
            <w:tcW w:w="5707" w:type="dxa"/>
            <w:gridSpan w:val="4"/>
            <w:tcBorders>
              <w:tl2br w:val="nil"/>
              <w:tr2bl w:val="nil"/>
            </w:tcBorders>
            <w:vAlign w:val="center"/>
          </w:tcPr>
          <w:p w:rsidR="00AC07DE" w:rsidRDefault="00AC07DE" w:rsidP="00CA368C">
            <w:pPr>
              <w:adjustRightInd w:val="0"/>
              <w:snapToGrid w:val="0"/>
              <w:spacing w:line="300" w:lineRule="auto"/>
              <w:jc w:val="left"/>
              <w:rPr>
                <w:rFonts w:ascii="宋体" w:hAnsi="宋体" w:cs="宋体"/>
                <w:strike/>
                <w:sz w:val="18"/>
                <w:szCs w:val="18"/>
              </w:rPr>
            </w:pPr>
          </w:p>
        </w:tc>
      </w:tr>
      <w:tr w:rsidR="00AC07DE" w:rsidTr="00CA368C">
        <w:trPr>
          <w:trHeight w:val="586"/>
          <w:jc w:val="center"/>
        </w:trPr>
        <w:tc>
          <w:tcPr>
            <w:tcW w:w="801"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7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财务能力</w:t>
            </w:r>
          </w:p>
        </w:tc>
        <w:tc>
          <w:tcPr>
            <w:tcW w:w="72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5分</w:t>
            </w:r>
          </w:p>
        </w:tc>
        <w:tc>
          <w:tcPr>
            <w:tcW w:w="5707" w:type="dxa"/>
            <w:gridSpan w:val="4"/>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提供2018年至2019年或2019年至2020年经会计师事务所或审计机构审计的财务报表得5分</w:t>
            </w:r>
          </w:p>
        </w:tc>
      </w:tr>
      <w:tr w:rsidR="00AC07DE" w:rsidTr="00CA368C">
        <w:trPr>
          <w:trHeight w:val="294"/>
          <w:jc w:val="center"/>
        </w:trPr>
        <w:tc>
          <w:tcPr>
            <w:tcW w:w="801"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70"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用工承诺</w:t>
            </w:r>
          </w:p>
        </w:tc>
        <w:tc>
          <w:tcPr>
            <w:tcW w:w="72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6分</w:t>
            </w:r>
          </w:p>
        </w:tc>
        <w:tc>
          <w:tcPr>
            <w:tcW w:w="5707" w:type="dxa"/>
            <w:gridSpan w:val="4"/>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highlight w:val="yellow"/>
              </w:rPr>
            </w:pPr>
            <w:r>
              <w:rPr>
                <w:rFonts w:ascii="宋体" w:hAnsi="宋体" w:cs="宋体" w:hint="eastAsia"/>
                <w:sz w:val="18"/>
                <w:szCs w:val="18"/>
              </w:rPr>
              <w:t>在劳务用工中优先使用当地或全省建档立卡贫困劳动力的承诺。使用1-4人的得1分，使用5-9人的得3分，使用10人及10人以上的得6分。</w:t>
            </w:r>
          </w:p>
        </w:tc>
      </w:tr>
      <w:tr w:rsidR="00AC07DE" w:rsidTr="00CA368C">
        <w:trPr>
          <w:trHeight w:val="736"/>
          <w:jc w:val="center"/>
        </w:trPr>
        <w:tc>
          <w:tcPr>
            <w:tcW w:w="801"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70"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履约信誉</w:t>
            </w:r>
          </w:p>
        </w:tc>
        <w:tc>
          <w:tcPr>
            <w:tcW w:w="72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z w:val="18"/>
                <w:szCs w:val="18"/>
              </w:rPr>
            </w:pPr>
            <w:r>
              <w:rPr>
                <w:rFonts w:ascii="宋体" w:hAnsi="宋体" w:cs="宋体" w:hint="eastAsia"/>
                <w:sz w:val="18"/>
                <w:szCs w:val="18"/>
              </w:rPr>
              <w:t>3分</w:t>
            </w:r>
          </w:p>
        </w:tc>
        <w:tc>
          <w:tcPr>
            <w:tcW w:w="5707" w:type="dxa"/>
            <w:gridSpan w:val="4"/>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highlight w:val="yellow"/>
              </w:rPr>
            </w:pPr>
            <w:r>
              <w:rPr>
                <w:rFonts w:ascii="宋体" w:hAnsi="宋体" w:cs="宋体" w:hint="eastAsia"/>
                <w:sz w:val="18"/>
                <w:szCs w:val="18"/>
              </w:rPr>
              <w:t>满足附录4 资格审查条件（信誉最低要求），得3分；</w:t>
            </w:r>
          </w:p>
        </w:tc>
      </w:tr>
      <w:tr w:rsidR="00AC07DE" w:rsidTr="00CA368C">
        <w:trPr>
          <w:trHeight w:val="736"/>
          <w:jc w:val="center"/>
        </w:trPr>
        <w:tc>
          <w:tcPr>
            <w:tcW w:w="801"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07" w:type="dxa"/>
            <w:vMerge/>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c>
          <w:tcPr>
            <w:tcW w:w="870" w:type="dxa"/>
            <w:tcBorders>
              <w:tl2br w:val="nil"/>
              <w:tr2bl w:val="nil"/>
            </w:tcBorders>
            <w:vAlign w:val="center"/>
          </w:tcPr>
          <w:p w:rsidR="00AC07DE" w:rsidRDefault="00AC07DE" w:rsidP="00CA368C">
            <w:pPr>
              <w:adjustRightInd w:val="0"/>
              <w:snapToGrid w:val="0"/>
              <w:spacing w:line="300" w:lineRule="auto"/>
              <w:jc w:val="left"/>
              <w:rPr>
                <w:rFonts w:ascii="宋体" w:hAnsi="宋体" w:cs="宋体"/>
                <w:strike/>
                <w:sz w:val="18"/>
                <w:szCs w:val="18"/>
              </w:rPr>
            </w:pPr>
            <w:r>
              <w:rPr>
                <w:rFonts w:ascii="宋体" w:hAnsi="宋体" w:cs="宋体" w:hint="eastAsia"/>
                <w:strike/>
                <w:sz w:val="18"/>
                <w:szCs w:val="18"/>
              </w:rPr>
              <w:t>企业认证</w:t>
            </w:r>
          </w:p>
        </w:tc>
        <w:tc>
          <w:tcPr>
            <w:tcW w:w="727" w:type="dxa"/>
            <w:tcBorders>
              <w:tl2br w:val="nil"/>
              <w:tr2bl w:val="nil"/>
            </w:tcBorders>
            <w:vAlign w:val="center"/>
          </w:tcPr>
          <w:p w:rsidR="00AC07DE" w:rsidRDefault="00AC07DE" w:rsidP="00CA368C">
            <w:pPr>
              <w:adjustRightInd w:val="0"/>
              <w:snapToGrid w:val="0"/>
              <w:spacing w:line="300" w:lineRule="auto"/>
              <w:jc w:val="center"/>
              <w:rPr>
                <w:rFonts w:ascii="宋体" w:hAnsi="宋体" w:cs="宋体"/>
                <w:strike/>
                <w:sz w:val="18"/>
                <w:szCs w:val="18"/>
              </w:rPr>
            </w:pPr>
            <w:r>
              <w:rPr>
                <w:rFonts w:ascii="宋体" w:hAnsi="宋体" w:cs="宋体" w:hint="eastAsia"/>
                <w:strike/>
                <w:sz w:val="18"/>
                <w:szCs w:val="18"/>
              </w:rPr>
              <w:t>0分</w:t>
            </w:r>
          </w:p>
        </w:tc>
        <w:tc>
          <w:tcPr>
            <w:tcW w:w="5707" w:type="dxa"/>
            <w:gridSpan w:val="4"/>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p>
        </w:tc>
      </w:tr>
      <w:tr w:rsidR="00AC07DE" w:rsidTr="00CA368C">
        <w:trPr>
          <w:trHeight w:val="483"/>
          <w:jc w:val="center"/>
        </w:trPr>
        <w:tc>
          <w:tcPr>
            <w:tcW w:w="8912" w:type="dxa"/>
            <w:gridSpan w:val="8"/>
            <w:tcBorders>
              <w:tl2br w:val="nil"/>
              <w:tr2bl w:val="nil"/>
            </w:tcBorders>
            <w:vAlign w:val="center"/>
          </w:tcPr>
          <w:p w:rsidR="00AC07DE" w:rsidRDefault="00AC07DE" w:rsidP="00CA368C">
            <w:pPr>
              <w:adjustRightInd w:val="0"/>
              <w:snapToGrid w:val="0"/>
              <w:spacing w:line="300" w:lineRule="auto"/>
              <w:jc w:val="left"/>
              <w:rPr>
                <w:rFonts w:ascii="宋体" w:hAnsi="宋体" w:cs="宋体"/>
                <w:sz w:val="18"/>
                <w:szCs w:val="18"/>
              </w:rPr>
            </w:pPr>
            <w:r>
              <w:rPr>
                <w:rFonts w:ascii="宋体" w:hAnsi="宋体" w:cs="宋体" w:hint="eastAsia"/>
                <w:sz w:val="18"/>
                <w:szCs w:val="18"/>
              </w:rPr>
              <w:t>需要补充的其他内容：无</w:t>
            </w:r>
          </w:p>
        </w:tc>
      </w:tr>
    </w:tbl>
    <w:p w:rsidR="00AC07DE" w:rsidRDefault="00AC07DE" w:rsidP="00AC07DE">
      <w:pPr>
        <w:rPr>
          <w:rFonts w:ascii="宋体" w:hAnsi="宋体" w:cs="宋体"/>
          <w:color w:val="000000"/>
          <w:sz w:val="18"/>
        </w:rPr>
      </w:pPr>
    </w:p>
    <w:p w:rsidR="00AC07DE" w:rsidRDefault="00AC07DE" w:rsidP="00AC07DE">
      <w:pPr>
        <w:rPr>
          <w:rFonts w:ascii="宋体" w:hAnsi="宋体" w:cs="宋体"/>
        </w:rPr>
      </w:pPr>
      <w:r>
        <w:rPr>
          <w:rFonts w:ascii="宋体" w:hAnsi="宋体" w:cs="宋体" w:hint="eastAsia"/>
          <w:color w:val="000000"/>
          <w:sz w:val="18"/>
        </w:rPr>
        <w:t xml:space="preserve">招标人应根据项目具体情况确定各评分因素及评分因素权重分值，并对各评分因素进行细分（如有）、确定各评分因素细分项的分值，各评分因素权重分值合计应为100分。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 </w:t>
      </w:r>
    </w:p>
    <w:p w:rsidR="005A7D67" w:rsidRDefault="005A7D67" w:rsidP="00CF648E">
      <w:pPr>
        <w:ind w:firstLineChars="200" w:firstLine="420"/>
      </w:pPr>
    </w:p>
    <w:p w:rsidR="005A7D67" w:rsidRDefault="005A7D67" w:rsidP="00CF648E">
      <w:pPr>
        <w:ind w:firstLineChars="200" w:firstLine="420"/>
      </w:pPr>
    </w:p>
    <w:p w:rsidR="005A7D67" w:rsidRDefault="005A7D67" w:rsidP="005A7D67">
      <w:pPr>
        <w:ind w:firstLineChars="200" w:firstLine="420"/>
        <w:jc w:val="right"/>
      </w:pPr>
      <w:r>
        <w:rPr>
          <w:rFonts w:hint="eastAsia"/>
        </w:rPr>
        <w:t>贵州海垚工程有限公司</w:t>
      </w:r>
    </w:p>
    <w:p w:rsidR="005A7D67" w:rsidRPr="005A7D67" w:rsidRDefault="005A7D67" w:rsidP="005A7D67">
      <w:pPr>
        <w:ind w:firstLineChars="200" w:firstLine="420"/>
        <w:jc w:val="right"/>
      </w:pPr>
      <w:r>
        <w:rPr>
          <w:rFonts w:hint="eastAsia"/>
        </w:rPr>
        <w:t>2021</w:t>
      </w:r>
      <w:r>
        <w:rPr>
          <w:rFonts w:hint="eastAsia"/>
        </w:rPr>
        <w:t>年</w:t>
      </w:r>
      <w:r w:rsidR="00AC07DE">
        <w:rPr>
          <w:rFonts w:hint="eastAsia"/>
        </w:rPr>
        <w:t>8</w:t>
      </w:r>
      <w:r>
        <w:rPr>
          <w:rFonts w:hint="eastAsia"/>
        </w:rPr>
        <w:t>月</w:t>
      </w:r>
      <w:r w:rsidR="00AC07DE">
        <w:rPr>
          <w:rFonts w:hint="eastAsia"/>
        </w:rPr>
        <w:t>12</w:t>
      </w:r>
      <w:r>
        <w:rPr>
          <w:rFonts w:hint="eastAsia"/>
        </w:rPr>
        <w:t>日</w:t>
      </w:r>
      <w:bookmarkEnd w:id="0"/>
    </w:p>
    <w:sectPr w:rsidR="005A7D67" w:rsidRPr="005A7D67" w:rsidSect="00EA79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1D" w:rsidRDefault="00DF361D" w:rsidP="00AC07DE">
      <w:r>
        <w:separator/>
      </w:r>
    </w:p>
  </w:endnote>
  <w:endnote w:type="continuationSeparator" w:id="0">
    <w:p w:rsidR="00DF361D" w:rsidRDefault="00DF361D" w:rsidP="00AC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1D" w:rsidRDefault="00DF361D" w:rsidP="00AC07DE">
      <w:r>
        <w:separator/>
      </w:r>
    </w:p>
  </w:footnote>
  <w:footnote w:type="continuationSeparator" w:id="0">
    <w:p w:rsidR="00DF361D" w:rsidRDefault="00DF361D" w:rsidP="00AC0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48E"/>
    <w:rsid w:val="000A2ACA"/>
    <w:rsid w:val="0014510B"/>
    <w:rsid w:val="005A7D67"/>
    <w:rsid w:val="009B3D34"/>
    <w:rsid w:val="009E7AAA"/>
    <w:rsid w:val="00AC07DE"/>
    <w:rsid w:val="00CF648E"/>
    <w:rsid w:val="00DB1C57"/>
    <w:rsid w:val="00DF361D"/>
    <w:rsid w:val="00EA7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54"/>
    <w:pPr>
      <w:widowControl w:val="0"/>
      <w:jc w:val="both"/>
    </w:pPr>
  </w:style>
  <w:style w:type="paragraph" w:styleId="2">
    <w:name w:val="heading 2"/>
    <w:basedOn w:val="a"/>
    <w:next w:val="a"/>
    <w:link w:val="2Char"/>
    <w:qFormat/>
    <w:rsid w:val="005A7D67"/>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A7D67"/>
    <w:rPr>
      <w:rFonts w:ascii="Arial" w:eastAsia="黑体" w:hAnsi="Arial" w:cs="Times New Roman"/>
      <w:b/>
      <w:bCs/>
      <w:sz w:val="32"/>
      <w:szCs w:val="32"/>
    </w:rPr>
  </w:style>
  <w:style w:type="paragraph" w:customStyle="1" w:styleId="20">
    <w:name w:val="正文 首缩2"/>
    <w:qFormat/>
    <w:rsid w:val="005A7D67"/>
    <w:pPr>
      <w:ind w:firstLineChars="200" w:firstLine="560"/>
    </w:pPr>
    <w:rPr>
      <w:rFonts w:ascii="Times New Roman" w:eastAsia="宋体" w:hAnsi="Times New Roman" w:cs="Times New Roman"/>
      <w:sz w:val="28"/>
      <w:szCs w:val="36"/>
    </w:rPr>
  </w:style>
  <w:style w:type="paragraph" w:styleId="a3">
    <w:name w:val="Normal Indent"/>
    <w:basedOn w:val="a"/>
    <w:uiPriority w:val="99"/>
    <w:semiHidden/>
    <w:unhideWhenUsed/>
    <w:rsid w:val="005A7D67"/>
    <w:pPr>
      <w:ind w:firstLineChars="200" w:firstLine="420"/>
    </w:pPr>
  </w:style>
  <w:style w:type="paragraph" w:styleId="a4">
    <w:name w:val="Body Text Indent"/>
    <w:basedOn w:val="a"/>
    <w:link w:val="Char"/>
    <w:uiPriority w:val="99"/>
    <w:semiHidden/>
    <w:unhideWhenUsed/>
    <w:rsid w:val="005A7D67"/>
    <w:pPr>
      <w:spacing w:after="120"/>
      <w:ind w:leftChars="200" w:left="420"/>
    </w:pPr>
  </w:style>
  <w:style w:type="character" w:customStyle="1" w:styleId="Char">
    <w:name w:val="正文文本缩进 Char"/>
    <w:basedOn w:val="a0"/>
    <w:link w:val="a4"/>
    <w:uiPriority w:val="99"/>
    <w:semiHidden/>
    <w:rsid w:val="005A7D67"/>
  </w:style>
  <w:style w:type="paragraph" w:styleId="21">
    <w:name w:val="Body Text First Indent 2"/>
    <w:basedOn w:val="a4"/>
    <w:link w:val="2Char0"/>
    <w:uiPriority w:val="99"/>
    <w:semiHidden/>
    <w:unhideWhenUsed/>
    <w:rsid w:val="005A7D67"/>
    <w:pPr>
      <w:ind w:firstLineChars="200" w:firstLine="420"/>
    </w:pPr>
  </w:style>
  <w:style w:type="character" w:customStyle="1" w:styleId="2Char0">
    <w:name w:val="正文首行缩进 2 Char"/>
    <w:basedOn w:val="Char"/>
    <w:link w:val="21"/>
    <w:uiPriority w:val="99"/>
    <w:semiHidden/>
    <w:rsid w:val="005A7D67"/>
  </w:style>
  <w:style w:type="paragraph" w:styleId="a5">
    <w:name w:val="header"/>
    <w:basedOn w:val="a"/>
    <w:link w:val="Char0"/>
    <w:uiPriority w:val="99"/>
    <w:semiHidden/>
    <w:unhideWhenUsed/>
    <w:rsid w:val="00AC07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C07DE"/>
    <w:rPr>
      <w:sz w:val="18"/>
      <w:szCs w:val="18"/>
    </w:rPr>
  </w:style>
  <w:style w:type="paragraph" w:styleId="a6">
    <w:name w:val="footer"/>
    <w:basedOn w:val="a"/>
    <w:link w:val="Char1"/>
    <w:uiPriority w:val="99"/>
    <w:semiHidden/>
    <w:unhideWhenUsed/>
    <w:rsid w:val="00AC07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C07DE"/>
    <w:rPr>
      <w:sz w:val="18"/>
      <w:szCs w:val="18"/>
    </w:rPr>
  </w:style>
  <w:style w:type="paragraph" w:customStyle="1" w:styleId="Default">
    <w:name w:val="Default"/>
    <w:uiPriority w:val="99"/>
    <w:unhideWhenUsed/>
    <w:qFormat/>
    <w:rsid w:val="00AC07DE"/>
    <w:pPr>
      <w:widowControl w:val="0"/>
      <w:autoSpaceDE w:val="0"/>
      <w:autoSpaceDN w:val="0"/>
      <w:adjustRightInd w:val="0"/>
    </w:pPr>
    <w:rPr>
      <w:rFonts w:ascii="Times New Roman" w:eastAsia="Times New Roman" w:hAnsi="Times New Roman" w:cs="Times New Roman" w:hint="eastAsia"/>
      <w:color w:val="00000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贵州海垚工程管理有限公司</dc:creator>
  <cp:lastModifiedBy>贵州海垚工程管理有限公司</cp:lastModifiedBy>
  <cp:revision>3</cp:revision>
  <dcterms:created xsi:type="dcterms:W3CDTF">2021-08-11T23:48:00Z</dcterms:created>
  <dcterms:modified xsi:type="dcterms:W3CDTF">2021-08-12T00:09:00Z</dcterms:modified>
</cp:coreProperties>
</file>